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FD561" w14:textId="77777777" w:rsidR="00357591" w:rsidRDefault="00357591" w:rsidP="00357591">
      <w:pPr>
        <w:jc w:val="center"/>
        <w:rPr>
          <w:rFonts w:ascii="Arial" w:hAnsi="Arial" w:cs="Arial"/>
          <w:b/>
          <w:bCs/>
          <w:spacing w:val="-2"/>
        </w:rPr>
      </w:pPr>
      <w:r w:rsidRPr="00357591">
        <w:rPr>
          <w:rFonts w:ascii="Arial" w:hAnsi="Arial" w:cs="Arial"/>
          <w:b/>
          <w:bCs/>
          <w:spacing w:val="-2"/>
        </w:rPr>
        <w:t>ЗАКОН ЗА ХАЗАРТА</w:t>
      </w:r>
    </w:p>
    <w:p w14:paraId="0769BA9F" w14:textId="67673DFD" w:rsidR="00357591" w:rsidRPr="00357591" w:rsidRDefault="00357591" w:rsidP="00357591">
      <w:pPr>
        <w:jc w:val="center"/>
        <w:rPr>
          <w:rFonts w:ascii="Arial" w:hAnsi="Arial" w:cs="Arial"/>
          <w:spacing w:val="-2"/>
        </w:rPr>
      </w:pPr>
      <w:r w:rsidRPr="00357591">
        <w:rPr>
          <w:rFonts w:ascii="Arial" w:hAnsi="Arial" w:cs="Arial"/>
          <w:spacing w:val="-2"/>
        </w:rPr>
        <w:t>……………………</w:t>
      </w:r>
    </w:p>
    <w:p w14:paraId="007D15EE" w14:textId="6283548F" w:rsidR="00357591" w:rsidRPr="00357591" w:rsidRDefault="00357591" w:rsidP="00357591">
      <w:pPr>
        <w:jc w:val="center"/>
        <w:rPr>
          <w:rFonts w:ascii="Arial" w:eastAsia="Times New Roman" w:hAnsi="Arial" w:cs="Arial"/>
          <w:b/>
          <w:bCs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Държавни такси</w:t>
      </w:r>
    </w:p>
    <w:p w14:paraId="59BF0E39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>Чл. 30. (1) (Доп. - ДВ, бр. 1 от 2014 г., в сила от 01.01.2014 г., изм. - ДВ, бр. 105 от 2014 г., в сила от 01.01.2015 г.) За разглеждане на документи по подадени искания за издаване на лицензи или за извършване на промени по издадени лицензи, за издаване на лицензи по този закон, с изключение на лицензи за онлайн залагания, за издаване на удостоверения с вписани промени по издадени лицензи, както и за извършване на други административни услуги, се събират държавни такси по тарифа, приета от Министерския съвет по предложение на министъра на финансите.</w:t>
      </w:r>
    </w:p>
    <w:p w14:paraId="1191747B" w14:textId="77777777" w:rsidR="00357591" w:rsidRPr="00357591" w:rsidRDefault="00357591" w:rsidP="00357591">
      <w:pPr>
        <w:spacing w:after="0" w:line="240" w:lineRule="auto"/>
        <w:ind w:firstLine="1650"/>
        <w:rPr>
          <w:rFonts w:ascii="Arial" w:eastAsia="Times New Roman" w:hAnsi="Arial" w:cs="Arial"/>
          <w:spacing w:val="-2"/>
          <w:kern w:val="0"/>
          <w14:ligatures w14:val="none"/>
        </w:rPr>
      </w:pPr>
    </w:p>
    <w:p w14:paraId="142E5479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>(2) (Доп. - ДВ, бр. 105 от 2014 г., в сила от 01.01.2015 г., изм. - ДВ, бр. 69 от 2020 г.) Платените държавни такси за разглеждане на документи по подадени искания за издаване на лицензи или за извършване на промени по издадени лицензи не подлежат на възстановяване.</w:t>
      </w:r>
    </w:p>
    <w:p w14:paraId="506B6BDD" w14:textId="77777777" w:rsidR="00357591" w:rsidRPr="00357591" w:rsidRDefault="00357591" w:rsidP="00357591">
      <w:pPr>
        <w:spacing w:after="0" w:line="240" w:lineRule="auto"/>
        <w:ind w:firstLine="1650"/>
        <w:rPr>
          <w:rFonts w:ascii="Arial" w:eastAsia="Times New Roman" w:hAnsi="Arial" w:cs="Arial"/>
          <w:spacing w:val="-2"/>
          <w:kern w:val="0"/>
          <w14:ligatures w14:val="none"/>
        </w:rPr>
      </w:pPr>
    </w:p>
    <w:p w14:paraId="4415E92F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b/>
          <w:bCs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 xml:space="preserve">(3) (Нова - ДВ, бр. 1 от 2014 г., в сила от 01.01.2014 г., доп. - ДВ, бр. 105 от 2014 г., в сила от 01.01.2015 г., изм. - ДВ, бр. 108 от 2023 г., в сила от 01.01.2024 г.) </w:t>
      </w:r>
      <w:r w:rsidRPr="00357591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 xml:space="preserve">За поддържане на лиценз за организиране на хазартни игри - традиционна лотария, томбола, моментна лотария, тото, лото, бинго, </w:t>
      </w:r>
      <w:proofErr w:type="spellStart"/>
      <w:r w:rsidRPr="00357591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кено</w:t>
      </w:r>
      <w:proofErr w:type="spellEnd"/>
      <w:r w:rsidRPr="00357591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 xml:space="preserve"> и техните разновидности, игри със залагания върху резултати от спортни състезания и надбягвания с коне и кучета, игри със залагания върху случайни събития и със залагания, свързани с познаване на факти, с изключение на онлайн залаганията, се събира двукомпонентна държавна такса, състояща се от еднократна такса в размер на 300 хил. лв. и променлива част в размер на 20 на сто върху разликата между стойността на получените залози и изплатените печалби, а за игри, за които се събират такси и комисиони за участие - в размер на 20 на сто върху стойността на получените такси и комисиони.</w:t>
      </w:r>
    </w:p>
    <w:p w14:paraId="179F7922" w14:textId="77777777" w:rsidR="00357591" w:rsidRPr="00357591" w:rsidRDefault="00357591" w:rsidP="00357591">
      <w:pPr>
        <w:spacing w:after="0" w:line="240" w:lineRule="auto"/>
        <w:ind w:firstLine="1650"/>
        <w:rPr>
          <w:rFonts w:ascii="Arial" w:eastAsia="Times New Roman" w:hAnsi="Arial" w:cs="Arial"/>
          <w:spacing w:val="-2"/>
          <w:kern w:val="0"/>
          <w14:ligatures w14:val="none"/>
        </w:rPr>
      </w:pPr>
    </w:p>
    <w:p w14:paraId="5BF6C4A6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>(4) (Нова - ДВ, бр. 1 от 2014 г., в сила от 01.01.2014 г., изм. - ДВ, бр. 108 от 2023 г., в сила от 01.01.2024 г.) За издаване и поддържане на лиценз за онлайн залагания се събира двукомпонентна държавна такса, състояща се от еднократна такса в размер на 400 000 лв. и променлива част в размер на 20 на сто върху разликата между стойността на получените залози и изплатените печалби, а за игри, за които се събират такси и комисиони за участие - в размер на 20 на сто върху стойността на получените такси и комисиони.</w:t>
      </w:r>
    </w:p>
    <w:p w14:paraId="24E2F018" w14:textId="77777777" w:rsidR="00357591" w:rsidRPr="00357591" w:rsidRDefault="00357591" w:rsidP="00357591">
      <w:pPr>
        <w:spacing w:after="0" w:line="240" w:lineRule="auto"/>
        <w:ind w:firstLine="1650"/>
        <w:rPr>
          <w:rFonts w:ascii="Arial" w:eastAsia="Times New Roman" w:hAnsi="Arial" w:cs="Arial"/>
          <w:spacing w:val="-2"/>
          <w:kern w:val="0"/>
          <w14:ligatures w14:val="none"/>
        </w:rPr>
      </w:pPr>
    </w:p>
    <w:p w14:paraId="31218FC1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>(5) (Нова - ДВ, бр. 69 от 2020 г., изм. - ДВ, бр. 108 от 2023 г., в сила от 01.01.2024 г.) За поддържане на лиценз за игри в игрално казино със срок на лиценза 5 години се събира еднократна държавна такса в размер на 300 000 лв., а за издаване и поддържане на лиценз за игри в игрално казино със срок на лиценза 10 години се събира еднократна държавна такса в размер на 600 000 лв.</w:t>
      </w:r>
    </w:p>
    <w:p w14:paraId="6F949A14" w14:textId="77777777" w:rsidR="00357591" w:rsidRPr="00357591" w:rsidRDefault="00357591" w:rsidP="00357591">
      <w:pPr>
        <w:spacing w:after="0" w:line="240" w:lineRule="auto"/>
        <w:ind w:firstLine="1650"/>
        <w:rPr>
          <w:rFonts w:ascii="Arial" w:eastAsia="Times New Roman" w:hAnsi="Arial" w:cs="Arial"/>
          <w:spacing w:val="-2"/>
          <w:kern w:val="0"/>
          <w14:ligatures w14:val="none"/>
        </w:rPr>
      </w:pPr>
    </w:p>
    <w:p w14:paraId="32E7EF99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 xml:space="preserve">(6) (Нова - ДВ, бр. 69 от 2020 г., изм. - ДВ, бр. 108 от 2023 г., в сила от 01.01.2024 г.) За поддържане на лиценз за игри с игрални автомати със срок на лиценза 5 години се събира еднократна държавна такса в размер на 75 000 лв., когато игрите са организирани в населени места до 500 000 жители, и в размер на 150 000 лв., когато игрите са организирани в населени места над 500 000 жители. За поддържане на лиценз за игри с игрални автомати със срок на лиценза 10 години се събира еднократна държавна такса в размер на 150 000 лв., когато игрите са организирани в населени места до 500 000 жители, </w:t>
      </w: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lastRenderedPageBreak/>
        <w:t>и в размер на 300 000 лв., когато игрите са организирани в населени места над 500 000 жители.</w:t>
      </w:r>
    </w:p>
    <w:p w14:paraId="06DF7DA7" w14:textId="77777777" w:rsidR="00357591" w:rsidRPr="00357591" w:rsidRDefault="00357591" w:rsidP="00357591">
      <w:pPr>
        <w:spacing w:after="0" w:line="240" w:lineRule="auto"/>
        <w:ind w:firstLine="1650"/>
        <w:rPr>
          <w:rFonts w:ascii="Arial" w:eastAsia="Times New Roman" w:hAnsi="Arial" w:cs="Arial"/>
          <w:spacing w:val="-2"/>
          <w:kern w:val="0"/>
          <w14:ligatures w14:val="none"/>
        </w:rPr>
      </w:pPr>
    </w:p>
    <w:p w14:paraId="46E42491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>(7) (Нова - ДВ, бр. 1 от 2014 г., в сила от 01.01.2014 г., изм. - ДВ, бр. 105 от 2014 г., в сила от 01.01.2015 г., предишна ал. 5 - ДВ, бр. 69 от 2020 г., отм. - ДВ, бр. 108 от 2023 г., в сила от 01.01.2024 г.)</w:t>
      </w:r>
    </w:p>
    <w:p w14:paraId="395BB1A8" w14:textId="77777777" w:rsidR="00357591" w:rsidRPr="00357591" w:rsidRDefault="00357591" w:rsidP="00357591">
      <w:pPr>
        <w:spacing w:after="0" w:line="240" w:lineRule="auto"/>
        <w:ind w:firstLine="1650"/>
        <w:rPr>
          <w:rFonts w:ascii="Arial" w:eastAsia="Times New Roman" w:hAnsi="Arial" w:cs="Arial"/>
          <w:spacing w:val="-2"/>
          <w:kern w:val="0"/>
          <w14:ligatures w14:val="none"/>
        </w:rPr>
      </w:pPr>
    </w:p>
    <w:p w14:paraId="0DBB51DA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>(8) (Нова - ДВ, бр. 1 от 2014 г., в сила от 01.01.2014 г., предишна ал. 6, изм. - ДВ, бр. 69 от 2020 г., изм. - ДВ, бр. 108 от 2023 г., в сила от 01.01.2024 г.) Организаторите на хазартни игри, които заплащат променливата част от таксата по ал. 3 и ал. 4, подават по електронен път за всеки месец в Националната агенция за приходите до 15-о число на следващия месец декларация по образец, утвърден от министъра на финансите, за основата за начисляване на таксата и дължимата такса.</w:t>
      </w:r>
    </w:p>
    <w:p w14:paraId="663FC72C" w14:textId="77777777" w:rsidR="00357591" w:rsidRPr="00357591" w:rsidRDefault="00357591" w:rsidP="00357591">
      <w:pPr>
        <w:spacing w:after="0" w:line="240" w:lineRule="auto"/>
        <w:ind w:firstLine="1650"/>
        <w:rPr>
          <w:rFonts w:ascii="Arial" w:eastAsia="Times New Roman" w:hAnsi="Arial" w:cs="Arial"/>
          <w:spacing w:val="-2"/>
          <w:kern w:val="0"/>
          <w14:ligatures w14:val="none"/>
        </w:rPr>
      </w:pPr>
    </w:p>
    <w:p w14:paraId="37C8DEEB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>(9) (Нова - ДВ, бр. 1 от 2014 г., в сила от 01.01.2014 г., предишна ал. 7, изм. - ДВ, бр. 69 от 2020 г.) След подаването на декларацията, но преди изтичане на срока по ал. 8, организаторът на хазартни игри има право да прави промени, свързани с данните по подадената декларация. Промените се извършват чрез подаване на нова декларация.</w:t>
      </w:r>
    </w:p>
    <w:p w14:paraId="301CA17B" w14:textId="77777777" w:rsidR="00357591" w:rsidRPr="00357591" w:rsidRDefault="00357591" w:rsidP="00357591">
      <w:pPr>
        <w:spacing w:after="0" w:line="240" w:lineRule="auto"/>
        <w:ind w:firstLine="1650"/>
        <w:rPr>
          <w:rFonts w:ascii="Arial" w:eastAsia="Times New Roman" w:hAnsi="Arial" w:cs="Arial"/>
          <w:spacing w:val="-2"/>
          <w:kern w:val="0"/>
          <w14:ligatures w14:val="none"/>
        </w:rPr>
      </w:pPr>
    </w:p>
    <w:p w14:paraId="556BC9CB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>(10) (Нова - ДВ, бр. 1 от 2014 г., в сила от 01.01.2014 г., предишна ал. 8, изм. и доп. - ДВ, бр. 69 от 2020 г., изм. - ДВ, бр. 108 от 2023 г., в сила от 01.01.2024 г.) Еднократната част от таксите по ал. 3 и ал. 4, както и таксите по ал. 5 и ал. 6 се внасят по банкова сметка на Националната агенция за приходите преди получаване на удостоверението за издаден първоначален или за продължаване на срока на лиценз за организиране на хазартни игри.</w:t>
      </w:r>
    </w:p>
    <w:p w14:paraId="23294FFB" w14:textId="77777777" w:rsidR="00357591" w:rsidRPr="00357591" w:rsidRDefault="00357591" w:rsidP="00357591">
      <w:pPr>
        <w:spacing w:after="0" w:line="240" w:lineRule="auto"/>
        <w:ind w:firstLine="1650"/>
        <w:rPr>
          <w:rFonts w:ascii="Arial" w:eastAsia="Times New Roman" w:hAnsi="Arial" w:cs="Arial"/>
          <w:spacing w:val="-2"/>
          <w:kern w:val="0"/>
          <w14:ligatures w14:val="none"/>
        </w:rPr>
      </w:pPr>
    </w:p>
    <w:p w14:paraId="02EE24DB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>(11) (Нова - ДВ, бр. 1 от 2014 г., в сила от 01.01.2014 г., предишна ал. 9, изм. - ДВ, бр. 69 от 2020 г., изм. - ДВ, бр. 108 от 2023 г., в сила от 01.01.2024 г.) Променливата част от таксите по ал. 3 и ал. 4 се внасят по банкова сметка на Националната агенция за приходите в срока за подаване на декларацията по ал. 8.</w:t>
      </w:r>
    </w:p>
    <w:p w14:paraId="0508A2C7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>(12) (Нова - ДВ, бр. 69 от 2020 г., изм. - ДВ, бр. 104 от 2020 г., в сила от 01.01.2021 г.) При заличаване, съответно прекратяване на лице по чл. 4 последният представляващ лицето - ликвидатор, синдик, представляващият място на стопанска дейност, а в случаите по чл. 6, ал. 1, т. 6 - упълномощеният представител, декларира и внася удържаната от имуществото на лицето такса, чийто срок за внасяне изтича след датата на заличаването, съответно прекратяването.</w:t>
      </w:r>
    </w:p>
    <w:p w14:paraId="37596F22" w14:textId="77777777" w:rsidR="00357591" w:rsidRPr="00357591" w:rsidRDefault="00357591" w:rsidP="00357591">
      <w:pPr>
        <w:spacing w:after="0" w:line="240" w:lineRule="auto"/>
        <w:ind w:firstLine="1875"/>
        <w:rPr>
          <w:rFonts w:ascii="Arial" w:eastAsia="Times New Roman" w:hAnsi="Arial" w:cs="Arial"/>
          <w:spacing w:val="-2"/>
          <w:kern w:val="0"/>
          <w14:ligatures w14:val="none"/>
        </w:rPr>
      </w:pPr>
      <w:r w:rsidRPr="00357591">
        <w:rPr>
          <w:rFonts w:ascii="Arial" w:eastAsia="Times New Roman" w:hAnsi="Arial" w:cs="Arial"/>
          <w:spacing w:val="-2"/>
          <w:kern w:val="0"/>
          <w14:ligatures w14:val="none"/>
        </w:rPr>
        <w:t>(13) (Нова - ДВ, бр. 69 от 2020 г.) В случаите по ал. 12 таксата за периода, през който е извършено заличаването, съответно прекратяването, се декларира и внася в 30-дневен срок от датата на заличаването, съответно прекратяването.</w:t>
      </w:r>
    </w:p>
    <w:p w14:paraId="1AA04D9B" w14:textId="01FAC171" w:rsidR="00357591" w:rsidRPr="00357591" w:rsidRDefault="0035759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…………………….</w:t>
      </w:r>
    </w:p>
    <w:sectPr w:rsidR="00357591" w:rsidRPr="00357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91"/>
    <w:rsid w:val="00357591"/>
    <w:rsid w:val="00F8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F453B"/>
  <w15:chartTrackingRefBased/>
  <w15:docId w15:val="{01A192E7-DD83-4A31-9296-27FEEB47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ui-unknown-title">
    <w:name w:val="c-ui-unknown-title"/>
    <w:basedOn w:val="Normal"/>
    <w:rsid w:val="0035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8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873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Lyudmila</cp:lastModifiedBy>
  <cp:revision>1</cp:revision>
  <dcterms:created xsi:type="dcterms:W3CDTF">2024-01-16T11:30:00Z</dcterms:created>
  <dcterms:modified xsi:type="dcterms:W3CDTF">2024-01-16T11:33:00Z</dcterms:modified>
</cp:coreProperties>
</file>