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B5519" w14:textId="77777777" w:rsidR="00D17264" w:rsidRPr="00D17264" w:rsidRDefault="00D17264" w:rsidP="00D17264">
      <w:pPr>
        <w:rPr>
          <w:b/>
          <w:lang w:val="bg-BG"/>
        </w:rPr>
      </w:pPr>
      <w:r w:rsidRPr="00D17264">
        <w:rPr>
          <w:b/>
          <w:lang w:val="bg-BG"/>
        </w:rPr>
        <w:t>М  О  Т  И  В  И</w:t>
      </w:r>
    </w:p>
    <w:p w14:paraId="2EDC7A39" w14:textId="77777777" w:rsidR="00D17264" w:rsidRPr="00D17264" w:rsidRDefault="00D17264" w:rsidP="00D17264">
      <w:pPr>
        <w:rPr>
          <w:b/>
          <w:lang w:val="bg-BG"/>
        </w:rPr>
      </w:pPr>
    </w:p>
    <w:p w14:paraId="5B49A3E3" w14:textId="77777777" w:rsidR="00D17264" w:rsidRPr="00D17264" w:rsidRDefault="00D17264" w:rsidP="00D17264">
      <w:pPr>
        <w:rPr>
          <w:b/>
          <w:lang w:val="bg-BG"/>
        </w:rPr>
      </w:pPr>
      <w:r w:rsidRPr="00D17264">
        <w:rPr>
          <w:b/>
          <w:lang w:val="bg-BG"/>
        </w:rPr>
        <w:t>към проекта на Закон за изменение и допълнение на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w:t>
      </w:r>
    </w:p>
    <w:p w14:paraId="33212ABC" w14:textId="77777777" w:rsidR="00D17264" w:rsidRPr="00D17264" w:rsidRDefault="00D17264" w:rsidP="00D17264">
      <w:pPr>
        <w:rPr>
          <w:b/>
          <w:lang w:val="bg-BG"/>
        </w:rPr>
      </w:pPr>
    </w:p>
    <w:p w14:paraId="1A713E06" w14:textId="77777777" w:rsidR="00D17264" w:rsidRPr="00D17264" w:rsidRDefault="00D17264" w:rsidP="00D17264">
      <w:pPr>
        <w:rPr>
          <w:b/>
          <w:lang w:val="bg-BG"/>
        </w:rPr>
      </w:pPr>
      <w:r w:rsidRPr="00D17264">
        <w:rPr>
          <w:b/>
          <w:lang w:val="bg-BG"/>
        </w:rPr>
        <w:t>1. Причини и цели, които налагат приемането на Закона за изменение и допълнение на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w:t>
      </w:r>
    </w:p>
    <w:p w14:paraId="056529D9" w14:textId="77777777" w:rsidR="00D17264" w:rsidRPr="00D17264" w:rsidRDefault="00D17264" w:rsidP="00D17264">
      <w:pPr>
        <w:rPr>
          <w:bCs/>
          <w:lang w:val="bg-BG"/>
        </w:rPr>
      </w:pPr>
      <w:r w:rsidRPr="00D17264">
        <w:rPr>
          <w:bCs/>
          <w:lang w:val="bg-BG"/>
        </w:rPr>
        <w:t xml:space="preserve">Съгласно разпоредбата на чл. 87, ал. 1 от Закона за публичните финанси (ЗПФ), в случай че до началото на бюджетната година държавният бюджет не бъде приет от Народното събрание, приходите на бюджета се събират в съответствие с действащите закони, а извършването на разходите и предоставянето на трансфери е в размер, не по-голям от размера им за същия период на предходната година, до размера на постъпилите приходи, помощи и дарения, като се отчитат влезли в сила актове на Народното събрание и на Министерския съвет, които предвиждат допълнителни или намалени бюджетни средства, и при спазване на фискалните правила по този закон и одобрените от Министерския съвет със средносрочната бюджетна прогноза фискални цели. </w:t>
      </w:r>
    </w:p>
    <w:p w14:paraId="1503301E" w14:textId="77777777" w:rsidR="00D17264" w:rsidRPr="00D17264" w:rsidRDefault="00D17264" w:rsidP="00D17264">
      <w:pPr>
        <w:rPr>
          <w:bCs/>
          <w:lang w:val="bg-BG"/>
        </w:rPr>
      </w:pPr>
      <w:r w:rsidRPr="00D17264">
        <w:rPr>
          <w:bCs/>
          <w:lang w:val="bg-BG"/>
        </w:rPr>
        <w:t>Въпреки че разпоредбата на чл. 87 от ЗПФ урежда основни въпроси, свързани със събирането на приходите, извършването на разходите, предоставянето на трансфери и поемането на държавен дълг, са налице някои законови празноти, които са уредени със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w:t>
      </w:r>
    </w:p>
    <w:p w14:paraId="3659B0E9" w14:textId="77777777" w:rsidR="00D17264" w:rsidRPr="00D17264" w:rsidRDefault="00D17264" w:rsidP="00D17264">
      <w:pPr>
        <w:rPr>
          <w:bCs/>
          <w:lang w:val="bg-BG"/>
        </w:rPr>
      </w:pPr>
      <w:r w:rsidRPr="00D17264">
        <w:rPr>
          <w:bCs/>
          <w:lang w:val="bg-BG"/>
        </w:rPr>
        <w:t xml:space="preserve">Необходимостта от приемането на законопроекта произтича и от срока по чл. 87, ал. 3 от ЗПФ, който ограничава действието на разпоредбата на ал. 1 на същия член за не повече от три месеца. Това налага Народното събрание да определи допълнителен срок за събиране на приходи, за извършване на разходи и за предоставяне на трансфери в изпълнение на чл. 87, </w:t>
      </w:r>
      <w:r w:rsidRPr="00D17264">
        <w:rPr>
          <w:bCs/>
          <w:lang w:val="bg-BG"/>
        </w:rPr>
        <w:br/>
        <w:t xml:space="preserve">ал. 4 от ЗПФ. </w:t>
      </w:r>
    </w:p>
    <w:p w14:paraId="29E4B576" w14:textId="77777777" w:rsidR="00D17264" w:rsidRPr="00D17264" w:rsidRDefault="00D17264" w:rsidP="00D17264">
      <w:pPr>
        <w:rPr>
          <w:bCs/>
          <w:lang w:val="bg-BG"/>
        </w:rPr>
      </w:pPr>
      <w:r w:rsidRPr="00D17264">
        <w:rPr>
          <w:bCs/>
          <w:lang w:val="bg-BG"/>
        </w:rPr>
        <w:t xml:space="preserve">Освен това със законопроекта се осигурява и възможност предвиденото увеличение на възнагражденията, включително еднократната индексация и от ръста на минималната работна заплата, както и увеличението на социалните плащания, произтичащи от влезли в сила нормативни актове, включително трансферите за общините, да може да се финансират и за сметка на наличности от предходната година, с изключение на средствата на Държавния фонд за гарантиране устойчивост на държавната пенсионна система. </w:t>
      </w:r>
    </w:p>
    <w:p w14:paraId="4612290A" w14:textId="77777777" w:rsidR="00D17264" w:rsidRPr="00D17264" w:rsidRDefault="00D17264" w:rsidP="00D17264">
      <w:pPr>
        <w:rPr>
          <w:bCs/>
          <w:lang w:val="bg-BG"/>
        </w:rPr>
      </w:pPr>
      <w:r w:rsidRPr="00D17264">
        <w:rPr>
          <w:bCs/>
          <w:lang w:val="bg-BG"/>
        </w:rPr>
        <w:lastRenderedPageBreak/>
        <w:t>Във връзка с прилагането на чл. 39 от Закона за въвеждане на еврото в Република България, както и поради настъпилите през последните десет години регулаторни и законодателни промени в областта на финансовите пазари се налага актуализация на договорите, с които през 2015 г. е създадена Средносрочната програма за емитиране на дълг на международните пазари. С присъединяването на Република България като държава - членка на еврозоната, към Европейския механизъм за стабилност възниква задължението за въвеждане на клаузи за колективно действие, които ще се прилагат за всички държавни ценни книжа с първоначален срок на падеж над една година.</w:t>
      </w:r>
    </w:p>
    <w:p w14:paraId="41BD2ED0" w14:textId="77777777" w:rsidR="00D17264" w:rsidRPr="00D17264" w:rsidRDefault="00D17264" w:rsidP="00D17264">
      <w:pPr>
        <w:rPr>
          <w:bCs/>
          <w:lang w:val="bg-BG"/>
        </w:rPr>
      </w:pPr>
      <w:r w:rsidRPr="00D17264">
        <w:rPr>
          <w:bCs/>
          <w:lang w:val="bg-BG"/>
        </w:rPr>
        <w:t>Със законопроекта се създава възможност общините да извършват разходи при отчитане на влезли в сила нормативни актове. Урежда се кметът на общината да може да финансира разходи за местни дейности в размери, по-големи от разходите за същия период на предходната година, до размера на собствените приходи на общината за съответния период, бюджетните взаимоотношения с централния бюджет и с други бюджети и сметки за средства от Европейския съюз по чл. 45, ал. 1, т. 3 от ЗПФ и заемните средства на общината. Предлага се удължаване на срока за оценка на общините с финансови затруднения, по реда на ЗПФ, в условията на неприет бюджет за 2026 г.</w:t>
      </w:r>
    </w:p>
    <w:p w14:paraId="11B9B4A9" w14:textId="77777777" w:rsidR="00D17264" w:rsidRPr="00D17264" w:rsidRDefault="00D17264" w:rsidP="00D17264">
      <w:pPr>
        <w:rPr>
          <w:bCs/>
          <w:lang w:val="bg-BG"/>
        </w:rPr>
      </w:pPr>
      <w:r w:rsidRPr="00D17264">
        <w:rPr>
          <w:bCs/>
          <w:lang w:val="bg-BG"/>
        </w:rPr>
        <w:t>Предложеният законопроект дава възможност до приемането на Закона за държавния бюджет на Република България за 2026 г., освен дълга по чл. 87, ал. 2 от ЗПФ, Министерският съвет да може да проведе преговори и да сключи с Европейската комисия споразумение за заем в размер на 3 261,7 млн. евро за получаване на финансова подкрепа под формата на заем по линия на Инструмента „Мерки за сигурността на Европа (SAFE) чрез укрепване на европейската отбранителна промишленост“ при условие за последваща ратификация.</w:t>
      </w:r>
    </w:p>
    <w:p w14:paraId="1C547BBB" w14:textId="77777777" w:rsidR="00D17264" w:rsidRPr="00D17264" w:rsidRDefault="00D17264" w:rsidP="00D17264">
      <w:pPr>
        <w:rPr>
          <w:bCs/>
          <w:lang w:val="bg-BG"/>
        </w:rPr>
      </w:pPr>
      <w:r w:rsidRPr="00D17264">
        <w:rPr>
          <w:bCs/>
          <w:lang w:val="bg-BG"/>
        </w:rPr>
        <w:t xml:space="preserve">На 11 февруари 2026 г. Съветът на ЕС взе решение за изпълнение за отпускане на финансовата помощ за България по Инструмента на Европейския съюз „Мерки за сигурността на Европа (SAFE) чрез укрепване на европейската отбранителна промишленост“. Финансовата помощ под формата на държавен заем в размер на 3 261,7 млн. евро ще осигури изпълнението на Националния план за инвестиции в европейската отбранителна промишленост по SAFE (Национален план), одобрен с Решение </w:t>
      </w:r>
      <w:r w:rsidRPr="00D17264">
        <w:rPr>
          <w:bCs/>
          <w:lang w:val="bg-BG"/>
        </w:rPr>
        <w:br/>
        <w:t>№ 823 на Министерския съвет от 2025 г.</w:t>
      </w:r>
    </w:p>
    <w:p w14:paraId="701B8195" w14:textId="77777777" w:rsidR="00D17264" w:rsidRPr="00D17264" w:rsidRDefault="00D17264" w:rsidP="00D17264">
      <w:pPr>
        <w:rPr>
          <w:bCs/>
          <w:lang w:val="bg-BG"/>
        </w:rPr>
      </w:pPr>
      <w:r w:rsidRPr="00D17264">
        <w:rPr>
          <w:bCs/>
          <w:lang w:val="bg-BG"/>
        </w:rPr>
        <w:t>Амбицията на Европейската комисия (ЕК) е подписване на Споразумението за заем и на Оперативното споразумение през март 2026 г., което ще позволи да започне процесът по изпълнение на националните ангажименти по SAFE и да се осигури авансовото финансиране в размер на 15% от общата сума на одобрената за България финансова помощ през април 2026 г.</w:t>
      </w:r>
    </w:p>
    <w:p w14:paraId="6A472A5C" w14:textId="77777777" w:rsidR="00D17264" w:rsidRPr="00D17264" w:rsidRDefault="00D17264" w:rsidP="00D17264">
      <w:pPr>
        <w:rPr>
          <w:bCs/>
          <w:lang w:val="bg-BG"/>
        </w:rPr>
      </w:pPr>
      <w:r w:rsidRPr="00D17264">
        <w:rPr>
          <w:bCs/>
          <w:lang w:val="bg-BG"/>
        </w:rPr>
        <w:t xml:space="preserve">Използването на финансова помощ от Механизма SAFE предоставя възможност за ускорена модернизация на българските въоръжени сили, като се облекчи натискът върху ликвидната позиция на бюджета на страната чрез използване на новите инициативи на Европейския съюз за подкрепа на значителните инвестиции в отбраната. Съществено предимство на Инструмента SAFE е и освобождаването от ДДС на доставките, свързани с изпълнение на проектите, финансирани със заемни средства, на основание чл. 20 от Регламента по SAFE. Финансирането чрез инструмента ще наложи обсъждане за поетапното увеличаване на разходите за отбрана в изпълнение на решенията от Срещата на високо равнище в Хага от юни 2025 г. за инвестиране на поне 5 % от </w:t>
      </w:r>
      <w:r w:rsidRPr="00D17264">
        <w:rPr>
          <w:bCs/>
          <w:lang w:val="bg-BG"/>
        </w:rPr>
        <w:lastRenderedPageBreak/>
        <w:t>брутния вътрешен продукт в отбрана, от които 3,5% за основни отбранителни разходи и 1,5% за свързани с нея дейности.</w:t>
      </w:r>
    </w:p>
    <w:p w14:paraId="473107BA" w14:textId="77777777" w:rsidR="00D17264" w:rsidRPr="00D17264" w:rsidRDefault="00D17264" w:rsidP="00D17264">
      <w:pPr>
        <w:rPr>
          <w:bCs/>
          <w:lang w:val="bg-BG"/>
        </w:rPr>
      </w:pPr>
      <w:r w:rsidRPr="00D17264">
        <w:rPr>
          <w:bCs/>
          <w:lang w:val="bg-BG"/>
        </w:rPr>
        <w:t>Националният план по SAFE ще осигури финансиране за изпълнението на девет приоритетни инвестиционни проекта в рамките на държавния бюджет, които са от ключово значение за развитието на отбранителните способности на България, както в национален, така и в съюзен контекст в рамките на НАТО и ЕС. Включените проекти съществено допринасят за изпълнението на Програмата за инвестиции в отбраната до 2032 г. (приета с Решение № 848 на Министерския съвет от 2023 г. и с Решение на Народното събрание от 19.04.2024 г.) и Пакета Цели за способности 2025 г. Тяхното изпълнение ще позволи извеждане от експлоатация на остаряло и невъзможно за поддръжка съветско въоръжение и техника, както и постигане на оперативна съвместимост със съюзниците на Източния фланг в кратки срокове – до 2030 г.</w:t>
      </w:r>
    </w:p>
    <w:p w14:paraId="3F025186" w14:textId="77777777" w:rsidR="00D17264" w:rsidRPr="00D17264" w:rsidRDefault="00D17264" w:rsidP="00D17264">
      <w:pPr>
        <w:rPr>
          <w:b/>
          <w:lang w:val="bg-BG"/>
        </w:rPr>
      </w:pPr>
      <w:r w:rsidRPr="00D17264">
        <w:rPr>
          <w:b/>
          <w:lang w:val="bg-BG"/>
        </w:rPr>
        <w:t>2. Предложенията се отнасят главно до следното:</w:t>
      </w:r>
    </w:p>
    <w:p w14:paraId="56FE4B2F" w14:textId="77777777" w:rsidR="00D17264" w:rsidRPr="00D17264" w:rsidRDefault="00D17264" w:rsidP="00D17264">
      <w:pPr>
        <w:rPr>
          <w:bCs/>
          <w:lang w:val="bg-BG"/>
        </w:rPr>
      </w:pPr>
      <w:r w:rsidRPr="00D17264">
        <w:rPr>
          <w:bCs/>
          <w:lang w:val="bg-BG"/>
        </w:rPr>
        <w:t>С предложената редакция на чл. 1 действието на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е продължено в изпълнение на чл. 87, ал. 4 от ЗПФ.</w:t>
      </w:r>
    </w:p>
    <w:p w14:paraId="74972B2E" w14:textId="77777777" w:rsidR="00D17264" w:rsidRPr="00D17264" w:rsidRDefault="00D17264" w:rsidP="00D17264">
      <w:pPr>
        <w:rPr>
          <w:bCs/>
          <w:lang w:val="bg-BG"/>
        </w:rPr>
      </w:pPr>
      <w:r w:rsidRPr="00D17264">
        <w:rPr>
          <w:bCs/>
          <w:lang w:val="bg-BG"/>
        </w:rPr>
        <w:t>С направената редакция на чл. 3, ал. 2 се осигурява възможност предвиденото увеличение на възнагражденията, включително еднократната индексация и от ръста на минималната работна заплата, както и увеличението на социалните плащания, произтичащи от влезли в сила нормативни актове, включително трансферите за общините, да може да се финансират и за сметка на наличности от предходната година, с изключение на средствата на Държавния фонд за гарантиране устойчивост на държавната пенсионна система.</w:t>
      </w:r>
    </w:p>
    <w:p w14:paraId="66606D22" w14:textId="77777777" w:rsidR="00D17264" w:rsidRPr="00D17264" w:rsidRDefault="00D17264" w:rsidP="00D17264">
      <w:pPr>
        <w:rPr>
          <w:bCs/>
          <w:lang w:val="bg-BG"/>
        </w:rPr>
      </w:pPr>
      <w:r w:rsidRPr="00D17264">
        <w:rPr>
          <w:bCs/>
          <w:lang w:val="bg-BG"/>
        </w:rPr>
        <w:t>С чл. 3, ал. 5 се създава възможност общините да извършват разходи при отчитане на влезли в сила нормативни актове. Урежда се кметът на общината да може да финансира разходи за местни дейности в размери, по-големи от разходите за същия период на предходната година, до размера на собствените приходи на общината за съответния период, бюджетните взаимоотношения с централния бюджет и с други бюджети и сметки за средства от Европейския съюз по чл. 45, ал. 1, т. 3 от ЗПФ и заемните средства на общината. С ал. 6 на чл. 3 се предлага удължаване на срока за оценка на общините с финансови затруднения, по реда на ЗПФ, в условията на неприет бюджет за 2026 г.</w:t>
      </w:r>
    </w:p>
    <w:p w14:paraId="1C47A112" w14:textId="77777777" w:rsidR="00D17264" w:rsidRPr="00D17264" w:rsidRDefault="00D17264" w:rsidP="00D17264">
      <w:pPr>
        <w:rPr>
          <w:bCs/>
          <w:lang w:val="bg-BG"/>
        </w:rPr>
      </w:pPr>
      <w:r w:rsidRPr="00D17264">
        <w:rPr>
          <w:bCs/>
          <w:lang w:val="bg-BG"/>
        </w:rPr>
        <w:t>Създава се нов чл. 3а, с който в ал. 1 се дава възможност до приемането на Закона за държавния бюджет на Република България за 2026 г., освен дълга по чл. 87, ал. 2 от Закона за публичните финанси, Министерският съвет да може да проведе преговори и да сключи с Европейската комисия споразумение за заем в размер на 3 261,7 млн. евро за получаване на финансова подкрепа под формата на заем по линия на Инструмента „Мерки за сигурността на Европа (SAFE) чрез укрепване на европейската отбранителна промишленост“ при условие за последваща ратификация.</w:t>
      </w:r>
    </w:p>
    <w:p w14:paraId="02FB02B7" w14:textId="77777777" w:rsidR="00D17264" w:rsidRPr="00D17264" w:rsidRDefault="00D17264" w:rsidP="00D17264">
      <w:pPr>
        <w:rPr>
          <w:bCs/>
          <w:lang w:val="bg-BG"/>
        </w:rPr>
      </w:pPr>
      <w:r w:rsidRPr="00D17264">
        <w:rPr>
          <w:bCs/>
          <w:lang w:val="bg-BG"/>
        </w:rPr>
        <w:lastRenderedPageBreak/>
        <w:t xml:space="preserve">Член 3а, ал. 2 дава възможност Министерският съвет да предприема действия за промени в средносрочната програма за емитиране на дълг на международните пазари във връзка с прилагането на чл. 39 от Закона за въвеждане на еврото в Република България. </w:t>
      </w:r>
    </w:p>
    <w:p w14:paraId="72A3CB6B" w14:textId="77777777" w:rsidR="00D17264" w:rsidRPr="00D17264" w:rsidRDefault="00D17264" w:rsidP="00D17264">
      <w:pPr>
        <w:rPr>
          <w:b/>
          <w:lang w:val="bg-BG"/>
        </w:rPr>
      </w:pPr>
      <w:r w:rsidRPr="00D17264">
        <w:rPr>
          <w:b/>
          <w:lang w:val="bg-BG"/>
        </w:rPr>
        <w:t>3.</w:t>
      </w:r>
      <w:r w:rsidRPr="00D17264">
        <w:rPr>
          <w:b/>
          <w:lang w:val="bg-BG"/>
        </w:rPr>
        <w:tab/>
        <w:t>Резултатите, които се очаква да се постигнат с предвидените нормативни промени, са:</w:t>
      </w:r>
    </w:p>
    <w:p w14:paraId="10BFB6C5" w14:textId="77777777" w:rsidR="00D17264" w:rsidRPr="00D17264" w:rsidRDefault="00D17264" w:rsidP="00D17264">
      <w:pPr>
        <w:rPr>
          <w:bCs/>
          <w:lang w:val="bg-BG"/>
        </w:rPr>
      </w:pPr>
      <w:r w:rsidRPr="00D17264">
        <w:rPr>
          <w:bCs/>
          <w:lang w:val="bg-BG"/>
        </w:rPr>
        <w:t>С предложените промени се удължава действието на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в изпълнение на чл. 87, ал. 4 от ЗПФ. Предложен е механизъм за финансиране на увеличените разходи, произтичащи от еднократната индексация на възнагражденията в бюджетния сектор и от ръста на минималната работна заплата, както и увеличението на социалните плащания, произтичащи от влезли в сила нормативни актове, включително трансферите за общините, да може да се финансират и за сметка на наличности от предходната година.</w:t>
      </w:r>
    </w:p>
    <w:p w14:paraId="25D36787" w14:textId="77777777" w:rsidR="00D17264" w:rsidRPr="00D17264" w:rsidRDefault="00D17264" w:rsidP="00D17264">
      <w:pPr>
        <w:rPr>
          <w:bCs/>
          <w:lang w:val="bg-BG"/>
        </w:rPr>
      </w:pPr>
      <w:r w:rsidRPr="00D17264">
        <w:rPr>
          <w:bCs/>
          <w:lang w:val="bg-BG"/>
        </w:rPr>
        <w:t>Създадена е възможност общините да извършват разходи при отчитане на влезли в сила нормативни актове. Урежда се кметът на общината да може да финансира разходи за местни дейности в размери, по-големи от разходите за същия период на предходната година, до размера на собствените приходи на общината за съответния период, бюджетните взаимоотношения с централния бюджет и с други бюджети и сметки за средства от Европейския съюз по чл. 45, ал. 1, т. 3 от Закона за публичните финанси и заемните средства на общината. Предложено е удължаване на срока за оценка на общините с финансови затруднения, по реда на ЗПФ, в условията на неприет бюджет за 2026 г.</w:t>
      </w:r>
    </w:p>
    <w:p w14:paraId="3A377638" w14:textId="77777777" w:rsidR="00D17264" w:rsidRPr="00D17264" w:rsidRDefault="00D17264" w:rsidP="00D17264">
      <w:pPr>
        <w:rPr>
          <w:bCs/>
          <w:lang w:val="bg-BG"/>
        </w:rPr>
      </w:pPr>
      <w:r w:rsidRPr="00D17264">
        <w:rPr>
          <w:bCs/>
          <w:lang w:val="bg-BG"/>
        </w:rPr>
        <w:t>Създадена е възможност Министерският съвет да може да проведе преговори и да сключи с Европейската комисия споразумение за заем за получаване на финансова подкрепа под формата на заем по линия на Инструмента „Мерки за сигурността на Европа (SAFE) чрез укрепване на европейската отбранителна промишленост“ при условие за последваща ратификация, както и възможност Министерският съвет да предприема действия за промени в Средносрочната програма за емитиране на дълг на международните пазари във връзка с прилагането на чл. 39 от Закона за въвеждане на еврото в Република България.</w:t>
      </w:r>
    </w:p>
    <w:p w14:paraId="7CBF0374" w14:textId="77777777" w:rsidR="00D17264" w:rsidRPr="00D17264" w:rsidRDefault="00D17264" w:rsidP="00D17264">
      <w:pPr>
        <w:rPr>
          <w:b/>
          <w:lang w:val="bg-BG"/>
        </w:rPr>
      </w:pPr>
    </w:p>
    <w:p w14:paraId="46F4736C" w14:textId="77777777" w:rsidR="00D17264" w:rsidRPr="00D17264" w:rsidRDefault="00D17264" w:rsidP="00D17264">
      <w:pPr>
        <w:rPr>
          <w:b/>
          <w:lang w:val="bg-BG"/>
        </w:rPr>
      </w:pPr>
    </w:p>
    <w:p w14:paraId="2AFCE0DC" w14:textId="77777777" w:rsidR="00D17264" w:rsidRPr="00D17264" w:rsidRDefault="00D17264" w:rsidP="00D17264">
      <w:pPr>
        <w:rPr>
          <w:b/>
          <w:lang w:val="bg-BG"/>
        </w:rPr>
      </w:pPr>
    </w:p>
    <w:p w14:paraId="424B1D9B" w14:textId="77777777" w:rsidR="00D17264" w:rsidRPr="00D17264" w:rsidRDefault="00D17264" w:rsidP="00D17264">
      <w:pPr>
        <w:rPr>
          <w:b/>
          <w:lang w:val="bg-BG"/>
        </w:rPr>
      </w:pPr>
      <w:bookmarkStart w:id="0" w:name="_Hlk92799938"/>
      <w:r w:rsidRPr="00D17264">
        <w:rPr>
          <w:b/>
          <w:lang w:val="bg-BG"/>
        </w:rPr>
        <w:t>МИНИСТЪР-ПРЕДСЕДАТЕЛ:</w:t>
      </w:r>
    </w:p>
    <w:bookmarkEnd w:id="0"/>
    <w:p w14:paraId="56BB9A4D" w14:textId="77777777" w:rsidR="00D17264" w:rsidRPr="00D17264" w:rsidRDefault="00D17264" w:rsidP="00D17264">
      <w:pPr>
        <w:rPr>
          <w:lang w:val="bg-BG"/>
        </w:rPr>
      </w:pPr>
      <w:r w:rsidRPr="00D17264">
        <w:rPr>
          <w:lang w:val="bg-BG"/>
        </w:rPr>
        <w:pict w14:anchorId="390949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Signature Line, Unsigned" style="width:191.35pt;height:95.65pt">
            <v:imagedata r:id="rId4" o:title=""/>
            <o:lock v:ext="edit" ungrouping="t" rotation="t" cropping="t" verticies="t" grouping="t"/>
            <o:signatureline v:ext="edit" id="{739A163B-DE5A-4B03-8001-063572FECEDC}" provid="{00000000-0000-0000-0000-000000000000}" issignatureline="t"/>
          </v:shape>
        </w:pict>
      </w:r>
    </w:p>
    <w:p w14:paraId="50C2B11D" w14:textId="77777777" w:rsidR="00F878C4" w:rsidRDefault="00F878C4"/>
    <w:sectPr w:rsidR="00F878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264"/>
    <w:rsid w:val="0059252F"/>
    <w:rsid w:val="00AF7599"/>
    <w:rsid w:val="00D17264"/>
    <w:rsid w:val="00D811EC"/>
    <w:rsid w:val="00DC0E8A"/>
    <w:rsid w:val="00F8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0A36C"/>
  <w15:chartTrackingRefBased/>
  <w15:docId w15:val="{7AC59C4F-9169-41CE-8B25-E7BA7448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1EC"/>
  </w:style>
  <w:style w:type="paragraph" w:styleId="Heading1">
    <w:name w:val="heading 1"/>
    <w:basedOn w:val="Normal"/>
    <w:next w:val="Normal"/>
    <w:link w:val="Heading1Char"/>
    <w:uiPriority w:val="9"/>
    <w:qFormat/>
    <w:rsid w:val="00D811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811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811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172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72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7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1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811E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811EC"/>
    <w:rPr>
      <w:rFonts w:ascii="Times New Roman" w:eastAsia="Times New Roman" w:hAnsi="Times New Roman" w:cs="Times New Roman"/>
      <w:b/>
      <w:bCs/>
      <w:sz w:val="27"/>
      <w:szCs w:val="27"/>
    </w:rPr>
  </w:style>
  <w:style w:type="character" w:styleId="Strong">
    <w:name w:val="Strong"/>
    <w:basedOn w:val="DefaultParagraphFont"/>
    <w:uiPriority w:val="22"/>
    <w:qFormat/>
    <w:rsid w:val="00D811EC"/>
    <w:rPr>
      <w:b/>
      <w:bCs/>
    </w:rPr>
  </w:style>
  <w:style w:type="paragraph" w:styleId="ListParagraph">
    <w:name w:val="List Paragraph"/>
    <w:basedOn w:val="Normal"/>
    <w:uiPriority w:val="34"/>
    <w:qFormat/>
    <w:rsid w:val="00D811EC"/>
    <w:pPr>
      <w:ind w:left="720"/>
      <w:contextualSpacing/>
    </w:pPr>
  </w:style>
  <w:style w:type="character" w:customStyle="1" w:styleId="Heading4Char">
    <w:name w:val="Heading 4 Char"/>
    <w:basedOn w:val="DefaultParagraphFont"/>
    <w:link w:val="Heading4"/>
    <w:uiPriority w:val="9"/>
    <w:semiHidden/>
    <w:rsid w:val="00D172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72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7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264"/>
    <w:rPr>
      <w:rFonts w:eastAsiaTheme="majorEastAsia" w:cstheme="majorBidi"/>
      <w:color w:val="272727" w:themeColor="text1" w:themeTint="D8"/>
    </w:rPr>
  </w:style>
  <w:style w:type="paragraph" w:styleId="Title">
    <w:name w:val="Title"/>
    <w:basedOn w:val="Normal"/>
    <w:next w:val="Normal"/>
    <w:link w:val="TitleChar"/>
    <w:uiPriority w:val="10"/>
    <w:qFormat/>
    <w:rsid w:val="00D17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264"/>
    <w:pPr>
      <w:spacing w:before="160"/>
      <w:jc w:val="center"/>
    </w:pPr>
    <w:rPr>
      <w:i/>
      <w:iCs/>
      <w:color w:val="404040" w:themeColor="text1" w:themeTint="BF"/>
    </w:rPr>
  </w:style>
  <w:style w:type="character" w:customStyle="1" w:styleId="QuoteChar">
    <w:name w:val="Quote Char"/>
    <w:basedOn w:val="DefaultParagraphFont"/>
    <w:link w:val="Quote"/>
    <w:uiPriority w:val="29"/>
    <w:rsid w:val="00D17264"/>
    <w:rPr>
      <w:i/>
      <w:iCs/>
      <w:color w:val="404040" w:themeColor="text1" w:themeTint="BF"/>
    </w:rPr>
  </w:style>
  <w:style w:type="character" w:styleId="IntenseEmphasis">
    <w:name w:val="Intense Emphasis"/>
    <w:basedOn w:val="DefaultParagraphFont"/>
    <w:uiPriority w:val="21"/>
    <w:qFormat/>
    <w:rsid w:val="00D17264"/>
    <w:rPr>
      <w:i/>
      <w:iCs/>
      <w:color w:val="2F5496" w:themeColor="accent1" w:themeShade="BF"/>
    </w:rPr>
  </w:style>
  <w:style w:type="paragraph" w:styleId="IntenseQuote">
    <w:name w:val="Intense Quote"/>
    <w:basedOn w:val="Normal"/>
    <w:next w:val="Normal"/>
    <w:link w:val="IntenseQuoteChar"/>
    <w:uiPriority w:val="30"/>
    <w:qFormat/>
    <w:rsid w:val="00D17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7264"/>
    <w:rPr>
      <w:i/>
      <w:iCs/>
      <w:color w:val="2F5496" w:themeColor="accent1" w:themeShade="BF"/>
    </w:rPr>
  </w:style>
  <w:style w:type="character" w:styleId="IntenseReference">
    <w:name w:val="Intense Reference"/>
    <w:basedOn w:val="DefaultParagraphFont"/>
    <w:uiPriority w:val="32"/>
    <w:qFormat/>
    <w:rsid w:val="00D172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1727</Words>
  <Characters>9848</Characters>
  <Application>Microsoft Office Word</Application>
  <DocSecurity>0</DocSecurity>
  <Lines>82</Lines>
  <Paragraphs>23</Paragraphs>
  <ScaleCrop>false</ScaleCrop>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Mermerski</dc:creator>
  <cp:keywords/>
  <dc:description/>
  <cp:lastModifiedBy>Marin Mermerski</cp:lastModifiedBy>
  <cp:revision>1</cp:revision>
  <dcterms:created xsi:type="dcterms:W3CDTF">2026-03-26T17:55:00Z</dcterms:created>
  <dcterms:modified xsi:type="dcterms:W3CDTF">2026-03-26T17:56:00Z</dcterms:modified>
</cp:coreProperties>
</file>