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6DEA" w14:textId="77777777" w:rsidR="00745B9C" w:rsidRPr="001E0F7A" w:rsidRDefault="00745B9C" w:rsidP="00745B9C">
      <w:pPr>
        <w:rPr>
          <w:rFonts w:ascii="Arial" w:hAnsi="Arial" w:cs="Arial"/>
          <w:b/>
          <w:bCs/>
          <w:lang w:val="bg-BG"/>
        </w:rPr>
      </w:pPr>
      <w:r w:rsidRPr="001E0F7A">
        <w:rPr>
          <w:rFonts w:ascii="Arial" w:hAnsi="Arial" w:cs="Arial"/>
          <w:b/>
          <w:bCs/>
          <w:lang w:val="bg-BG"/>
        </w:rPr>
        <w:t>Обмен на информация с търговските банки и другите доставчици на платежни услуги (Загл. доп. - ДВ, бр. 96 от 2019 г., в сила от 01.01.2020 г., изм. - ДВ, бр. 30 от 2026 г., в сила от 27.03.2026 г.)</w:t>
      </w:r>
    </w:p>
    <w:p w14:paraId="5D135820" w14:textId="1E0543FC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Чл. 25. (Нов - ДВ, бр. 105 от 2005 г., в сила от 01.01.2006 г.) (1) (Изм. и доп. - ДВ, бр. 96 от 2019 г., в сила от 01.01.2020 г., изм. - ДВ, бр. 30 от 2026 г., в сила от 27.03.2026 г.) Лицата по чл. 56а, ал. 2 от Закона за кредитните институции предоставят информацията по ал. 1 от същата разпоредба на Националната агенция за приходите най-малко веднъж седмично. Информацията се предоставя в срок и с обхват съгласно изискванията, определени в наредбата по чл. 56а, ал. 8 от Закона за кредитните институции.</w:t>
      </w:r>
    </w:p>
    <w:p w14:paraId="130291D8" w14:textId="4B0DE2B4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 xml:space="preserve">(2) (Изм. и доп. - ДВ, бр. 96 от 2019 г., в сила от 01.01.2020 г., изм. - ДВ, бр. 30 от 2026 г., в сила от 27.03.2026 г.) Търговските банки, клоновете на чуждестранните банки и другите доставчици на платежни услуги уведомяват в 7-дневен срок агенцията за предоставени терминални устройства ПОС (POS Terminal и </w:t>
      </w:r>
      <w:proofErr w:type="spellStart"/>
      <w:r w:rsidRPr="001E0F7A">
        <w:rPr>
          <w:rFonts w:ascii="Arial" w:hAnsi="Arial" w:cs="Arial"/>
          <w:lang w:val="bg-BG"/>
        </w:rPr>
        <w:t>Virtual</w:t>
      </w:r>
      <w:proofErr w:type="spellEnd"/>
      <w:r w:rsidRPr="001E0F7A">
        <w:rPr>
          <w:rFonts w:ascii="Arial" w:hAnsi="Arial" w:cs="Arial"/>
          <w:lang w:val="bg-BG"/>
        </w:rPr>
        <w:t xml:space="preserve"> POS Terminal) на:</w:t>
      </w:r>
    </w:p>
    <w:p w14:paraId="64A1D5F2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1. едноличните търговци, местните юридически лица, включително тези с нестопанска цел, и клоновете на чуждестранните лица;</w:t>
      </w:r>
    </w:p>
    <w:p w14:paraId="2F9993E2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 xml:space="preserve">2. </w:t>
      </w:r>
      <w:proofErr w:type="spellStart"/>
      <w:r w:rsidRPr="001E0F7A">
        <w:rPr>
          <w:rFonts w:ascii="Arial" w:hAnsi="Arial" w:cs="Arial"/>
          <w:lang w:val="bg-BG"/>
        </w:rPr>
        <w:t>неперсонифицираните</w:t>
      </w:r>
      <w:proofErr w:type="spellEnd"/>
      <w:r w:rsidRPr="001E0F7A">
        <w:rPr>
          <w:rFonts w:ascii="Arial" w:hAnsi="Arial" w:cs="Arial"/>
          <w:lang w:val="bg-BG"/>
        </w:rPr>
        <w:t xml:space="preserve"> дружества и осигурителните каси;</w:t>
      </w:r>
    </w:p>
    <w:p w14:paraId="31CB1F51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3. чуждестранните юридически лица, които са регистрирали търговско представителство;</w:t>
      </w:r>
    </w:p>
    <w:p w14:paraId="587D3493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4. чуждестранните лица, които осъществяват стопанска дейност в страната, включително чрез място на стопанска дейност.</w:t>
      </w:r>
    </w:p>
    <w:p w14:paraId="5656D68C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 xml:space="preserve">(3) (Нова - ДВ, бр. 96 от 2019 г., в сила от 01.01.2020 г., изм. - ДВ, бр. 30 от 2026 г., в сила от 27.03.2026 г.) Банките и другите доставчици на платежни услуги предоставят ежемесечно до 10-о число на месеца, следващ месеца, за който се отнася, информация на Националната агенция за приходите за броя и стойността на транзакциите по платежна сметка, извършени чрез терминални устройства ПОС (POS Terminal и </w:t>
      </w:r>
      <w:proofErr w:type="spellStart"/>
      <w:r w:rsidRPr="001E0F7A">
        <w:rPr>
          <w:rFonts w:ascii="Arial" w:hAnsi="Arial" w:cs="Arial"/>
          <w:lang w:val="bg-BG"/>
        </w:rPr>
        <w:t>Virtual</w:t>
      </w:r>
      <w:proofErr w:type="spellEnd"/>
      <w:r w:rsidRPr="001E0F7A">
        <w:rPr>
          <w:rFonts w:ascii="Arial" w:hAnsi="Arial" w:cs="Arial"/>
          <w:lang w:val="bg-BG"/>
        </w:rPr>
        <w:t xml:space="preserve"> POS Terminal), във формат, определен от изпълнителния директор на агенцията след консултация със заинтересованите страни.</w:t>
      </w:r>
    </w:p>
    <w:p w14:paraId="5C71AF52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(4) (Нова - ДВ, бр. 30 от 2026 г., в сила от 27.03.2026 г.) Националната агенция за приходите използва информацията по ал. 1 - 3 само за целите на изпълнението на законоустановените ѝ функции, като не се допуска предоставянето на същата на трети лица.</w:t>
      </w:r>
    </w:p>
    <w:p w14:paraId="105FBD4D" w14:textId="77777777" w:rsidR="00745B9C" w:rsidRPr="001E0F7A" w:rsidRDefault="00745B9C" w:rsidP="00745B9C">
      <w:pPr>
        <w:rPr>
          <w:rFonts w:ascii="Arial" w:hAnsi="Arial" w:cs="Arial"/>
          <w:lang w:val="bg-BG"/>
        </w:rPr>
      </w:pPr>
      <w:r w:rsidRPr="001E0F7A">
        <w:rPr>
          <w:rFonts w:ascii="Arial" w:hAnsi="Arial" w:cs="Arial"/>
          <w:lang w:val="bg-BG"/>
        </w:rPr>
        <w:t>(5) (Нова - ДВ, бр. 30 от 2026 г., в сила от 27.03.2026 г.) Търговските банки и клоновете на чуждестранните банки получават от Националната агенция за приходите, чрез Информационната система за обмен на справочна и удостоверителна информация (REGIX), данни от Регистъра на заетостта, както и данни за осигурените лица, включително лични данни и данъчна и осигурителна информация, за целите на оценката на кредитоспособността по Закона за потребителския кредит и Закона за кредитите за недвижими имоти на потребители.</w:t>
      </w:r>
    </w:p>
    <w:tbl>
      <w:tblPr>
        <w:tblW w:w="1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</w:tblGrid>
      <w:tr w:rsidR="00745B9C" w:rsidRPr="001E0F7A" w14:paraId="7E1186BA" w14:textId="77777777" w:rsidTr="00EB7BD8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DE4A6" w14:textId="77777777" w:rsidR="00745B9C" w:rsidRPr="001E0F7A" w:rsidRDefault="00745B9C" w:rsidP="00EB7BD8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99E8E" w14:textId="77777777" w:rsidR="00745B9C" w:rsidRPr="001E0F7A" w:rsidRDefault="00745B9C" w:rsidP="00EB7BD8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76CB" w14:textId="77777777" w:rsidR="00745B9C" w:rsidRPr="001E0F7A" w:rsidRDefault="00745B9C" w:rsidP="00EB7BD8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E0EFC" w14:textId="77777777" w:rsidR="00745B9C" w:rsidRPr="001E0F7A" w:rsidRDefault="00745B9C" w:rsidP="00EB7BD8">
            <w:pPr>
              <w:rPr>
                <w:lang w:val="bg-BG"/>
              </w:rPr>
            </w:pPr>
          </w:p>
        </w:tc>
      </w:tr>
    </w:tbl>
    <w:p w14:paraId="3570DCB8" w14:textId="77777777" w:rsidR="00F878C4" w:rsidRPr="00745B9C" w:rsidRDefault="00F878C4">
      <w:pPr>
        <w:rPr>
          <w:lang w:val="bg-BG"/>
        </w:rPr>
      </w:pPr>
    </w:p>
    <w:sectPr w:rsidR="00F878C4" w:rsidRPr="0074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9C"/>
    <w:rsid w:val="00745B9C"/>
    <w:rsid w:val="00934380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206B"/>
  <w15:chartTrackingRefBased/>
  <w15:docId w15:val="{8CF6A7E1-2EB8-4002-82C7-41038A79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B9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45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B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5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1</cp:revision>
  <dcterms:created xsi:type="dcterms:W3CDTF">2026-03-27T08:47:00Z</dcterms:created>
  <dcterms:modified xsi:type="dcterms:W3CDTF">2026-03-27T08:48:00Z</dcterms:modified>
</cp:coreProperties>
</file>