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6AC6" w14:textId="77777777" w:rsidR="00500D29" w:rsidRPr="00500D29" w:rsidRDefault="00500D29" w:rsidP="00500D29">
      <w:pPr>
        <w:rPr>
          <w:lang w:val="bg-BG"/>
        </w:rPr>
      </w:pPr>
      <w:r w:rsidRPr="00500D29">
        <w:rPr>
          <w:lang w:val="bg-BG"/>
        </w:rPr>
        <w:t>В последните години инвестициите във финансови активи се превръщат във все по-разпространено явление у нас. Това се дължи както на трайно ниската доходност по банковите депозити, така и на масовото навлизане на международни електронни платформи за търговия с финансови инструменти, които направиха глобалните пазари достъпни за широк кръг инвеститори. Наблюдава се нарастващ интерес към процеса по финансово инвестиране както от физически лица, така и от предприятия, търсещи алтернативни форми за управление на свободните си средства.</w:t>
      </w:r>
    </w:p>
    <w:p w14:paraId="5CACF3FC" w14:textId="77777777" w:rsidR="00500D29" w:rsidRPr="00500D29" w:rsidRDefault="00500D29" w:rsidP="00500D29">
      <w:pPr>
        <w:rPr>
          <w:lang w:val="bg-BG"/>
        </w:rPr>
      </w:pPr>
      <w:r w:rsidRPr="00500D29">
        <w:rPr>
          <w:lang w:val="bg-BG"/>
        </w:rPr>
        <w:t>По-активното участие на български дружества на глобалните финансови пазари превръща правилното счетоводно и данъчно третиране на сделките с финансови инструменти във все по-актуален въпрос.</w:t>
      </w:r>
    </w:p>
    <w:p w14:paraId="72190461" w14:textId="076365EA" w:rsidR="00500D29" w:rsidRPr="00500D29" w:rsidRDefault="00500D29" w:rsidP="00500D29">
      <w:pPr>
        <w:rPr>
          <w:lang w:val="bg-BG"/>
        </w:rPr>
      </w:pPr>
      <w:r w:rsidRPr="00500D29">
        <w:rPr>
          <w:lang w:val="bg-BG"/>
        </w:rPr>
        <w:t>Настоящата рубрика е посветена на счетоводните и данъчните аспекти на най-често срещаните сделки с финансови активи. Акцентът е поставен върху класическите финансови инструменти (акции, дялове и облигации), като успоредно с тях ще бъдат разгледани и по-сложни инструменти като фючърси и договори за разлика. Целта е да предоставим практически насоки, които да подпомогнат читателите при правилното интерпретиране на тези сделки.</w:t>
      </w:r>
    </w:p>
    <w:p w14:paraId="44C9E46A" w14:textId="77777777" w:rsidR="00500D29" w:rsidRPr="00500D29" w:rsidRDefault="00500D29" w:rsidP="00500D29">
      <w:pPr>
        <w:rPr>
          <w:lang w:val="bg-BG"/>
        </w:rPr>
      </w:pPr>
      <w:r w:rsidRPr="00500D29">
        <w:rPr>
          <w:lang w:val="bg-BG"/>
        </w:rPr>
        <w:t>Рубриката започва с една от по-специфичните теми — късата продажба на акции.</w:t>
      </w:r>
    </w:p>
    <w:p w14:paraId="587AF7F0" w14:textId="77777777" w:rsidR="00F878C4" w:rsidRPr="00500D29" w:rsidRDefault="00F878C4">
      <w:pPr>
        <w:rPr>
          <w:lang w:val="bg-BG"/>
        </w:rPr>
      </w:pPr>
    </w:p>
    <w:sectPr w:rsidR="00F878C4" w:rsidRPr="0050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29"/>
    <w:rsid w:val="000A2291"/>
    <w:rsid w:val="00381952"/>
    <w:rsid w:val="00500D29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317D"/>
  <w15:chartTrackingRefBased/>
  <w15:docId w15:val="{E6AA1802-5DE0-4621-BE1A-FAF0EEF6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2026-04-30T15:13:00Z</dcterms:created>
  <dcterms:modified xsi:type="dcterms:W3CDTF">2026-04-30T15:13:00Z</dcterms:modified>
</cp:coreProperties>
</file>