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6DF7" w14:textId="77777777" w:rsidR="00333469" w:rsidRPr="0035025A" w:rsidRDefault="00333469" w:rsidP="00333469">
      <w:pPr>
        <w:spacing w:line="360" w:lineRule="auto"/>
        <w:ind w:firstLine="4395"/>
        <w:jc w:val="center"/>
        <w:rPr>
          <w:rFonts w:ascii="Times New Roman" w:hAnsi="Times New Roman"/>
          <w:b/>
          <w:bCs/>
          <w:i/>
          <w:sz w:val="26"/>
          <w:szCs w:val="26"/>
        </w:rPr>
      </w:pPr>
    </w:p>
    <w:p w14:paraId="5AB26ABB" w14:textId="77777777" w:rsidR="00333469" w:rsidRPr="00715B8D" w:rsidRDefault="00333469" w:rsidP="00333469">
      <w:pPr>
        <w:jc w:val="center"/>
        <w:rPr>
          <w:rFonts w:ascii="Times New Roman" w:hAnsi="Times New Roman"/>
          <w:b/>
          <w:sz w:val="28"/>
          <w:szCs w:val="28"/>
        </w:rPr>
      </w:pPr>
      <w:r w:rsidRPr="00715B8D">
        <w:rPr>
          <w:rFonts w:ascii="Times New Roman" w:hAnsi="Times New Roman"/>
          <w:b/>
          <w:sz w:val="28"/>
          <w:szCs w:val="28"/>
        </w:rPr>
        <w:t>М  О  Т  И  В  И</w:t>
      </w:r>
    </w:p>
    <w:p w14:paraId="09B56526" w14:textId="77777777" w:rsidR="00333469" w:rsidRPr="00715B8D" w:rsidRDefault="00333469" w:rsidP="00333469">
      <w:pPr>
        <w:spacing w:line="288" w:lineRule="auto"/>
        <w:jc w:val="center"/>
        <w:rPr>
          <w:rFonts w:ascii="Times New Roman" w:hAnsi="Times New Roman"/>
          <w:b/>
          <w:smallCaps/>
          <w:sz w:val="28"/>
          <w:szCs w:val="28"/>
        </w:rPr>
      </w:pPr>
      <w:r w:rsidRPr="00715B8D">
        <w:rPr>
          <w:rFonts w:ascii="Times New Roman" w:hAnsi="Times New Roman"/>
          <w:b/>
          <w:smallCaps/>
          <w:sz w:val="28"/>
          <w:szCs w:val="28"/>
        </w:rPr>
        <w:t>към проекта на Закон за бюджета на държавното обществено осигуряване</w:t>
      </w:r>
      <w:r w:rsidRPr="0035025A">
        <w:rPr>
          <w:rFonts w:ascii="Times New Roman" w:hAnsi="Times New Roman"/>
          <w:b/>
          <w:smallCaps/>
          <w:sz w:val="28"/>
          <w:szCs w:val="28"/>
        </w:rPr>
        <w:t xml:space="preserve"> </w:t>
      </w:r>
      <w:r w:rsidRPr="00715B8D">
        <w:rPr>
          <w:rFonts w:ascii="Times New Roman" w:hAnsi="Times New Roman"/>
          <w:b/>
          <w:smallCaps/>
          <w:sz w:val="28"/>
          <w:szCs w:val="28"/>
        </w:rPr>
        <w:t>за 2026 г.</w:t>
      </w:r>
    </w:p>
    <w:p w14:paraId="0EF614C9"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Проектът на бюджета на държавното обществено осигуряване (ДОО) за 2026 г. е разработен в изпълнение на Решение № 474 на Министерския съвет на Република България от 17 юли 2025 г. за бюджетната процедура за 2026 г., Указания БЮ № 3 от 17 септември </w:t>
      </w:r>
      <w:r w:rsidRPr="0035025A">
        <w:rPr>
          <w:rFonts w:ascii="Times New Roman" w:hAnsi="Times New Roman"/>
          <w:sz w:val="28"/>
          <w:szCs w:val="28"/>
        </w:rPr>
        <w:br/>
      </w:r>
      <w:r w:rsidRPr="00D160D1">
        <w:rPr>
          <w:rFonts w:ascii="Times New Roman" w:hAnsi="Times New Roman"/>
          <w:sz w:val="28"/>
          <w:szCs w:val="28"/>
        </w:rPr>
        <w:t>2025 г.</w:t>
      </w:r>
      <w:r w:rsidRPr="0035025A">
        <w:rPr>
          <w:rFonts w:ascii="Times New Roman" w:hAnsi="Times New Roman"/>
          <w:sz w:val="28"/>
          <w:szCs w:val="28"/>
        </w:rPr>
        <w:t xml:space="preserve"> </w:t>
      </w:r>
      <w:r>
        <w:rPr>
          <w:rFonts w:ascii="Times New Roman" w:hAnsi="Times New Roman"/>
          <w:sz w:val="28"/>
          <w:szCs w:val="28"/>
        </w:rPr>
        <w:t>и</w:t>
      </w:r>
      <w:r w:rsidRPr="00D160D1">
        <w:rPr>
          <w:rFonts w:ascii="Times New Roman" w:hAnsi="Times New Roman"/>
          <w:sz w:val="28"/>
          <w:szCs w:val="28"/>
        </w:rPr>
        <w:t xml:space="preserve"> БЮ № 2 от 18 май 2026 г. на министъра на финансите, както и указания на министъра на финансите, предоставени с писма с изх. № 91-00-231 от 19.05.2026 г. и № 91-00-284 от 19.06.2026 г.</w:t>
      </w:r>
    </w:p>
    <w:p w14:paraId="11881C6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Разчетите по приходната част на проекта на З</w:t>
      </w:r>
      <w:r>
        <w:rPr>
          <w:rFonts w:ascii="Times New Roman" w:hAnsi="Times New Roman"/>
          <w:sz w:val="28"/>
          <w:szCs w:val="28"/>
        </w:rPr>
        <w:t xml:space="preserve">акон за бюджета на държавното обществено осигуряване (ЗБДОО) </w:t>
      </w:r>
      <w:r w:rsidRPr="00D160D1">
        <w:rPr>
          <w:rFonts w:ascii="Times New Roman" w:hAnsi="Times New Roman"/>
          <w:sz w:val="28"/>
          <w:szCs w:val="28"/>
        </w:rPr>
        <w:t>за 2026 г. са съгласувани с Националната агенция за приходите (НАП) по отношение задължителните осигурителни вноски</w:t>
      </w:r>
      <w:r>
        <w:rPr>
          <w:rFonts w:ascii="Times New Roman" w:hAnsi="Times New Roman"/>
          <w:sz w:val="28"/>
          <w:szCs w:val="28"/>
        </w:rPr>
        <w:t>,</w:t>
      </w:r>
      <w:r w:rsidRPr="00D160D1">
        <w:rPr>
          <w:rFonts w:ascii="Times New Roman" w:hAnsi="Times New Roman"/>
          <w:sz w:val="28"/>
          <w:szCs w:val="28"/>
        </w:rPr>
        <w:t xml:space="preserve"> както и за други приходи, събирани от НАП.</w:t>
      </w:r>
    </w:p>
    <w:p w14:paraId="2DB6ED98" w14:textId="77777777" w:rsidR="00333469" w:rsidRPr="0035025A"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проекта на Закон за бюджета на държавното обществено осигуряване за 2026 г. са заложени следните политики по приходите:</w:t>
      </w:r>
    </w:p>
    <w:p w14:paraId="5DC5A6F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Предвидено е увеличение от 1 януари 2026 г. на минималната работна заплата за страната в размер на 620,20 евро. </w:t>
      </w:r>
    </w:p>
    <w:p w14:paraId="02A2A41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Минималните осигурителни доходи по основни икономически дейности и квалификационни групи професии се актуализират считано от 1 август 2026 г</w:t>
      </w:r>
      <w:r>
        <w:rPr>
          <w:rFonts w:ascii="Times New Roman" w:hAnsi="Times New Roman"/>
          <w:sz w:val="28"/>
          <w:szCs w:val="28"/>
        </w:rPr>
        <w:t>.</w:t>
      </w:r>
      <w:r w:rsidRPr="00D160D1">
        <w:rPr>
          <w:rFonts w:ascii="Times New Roman" w:hAnsi="Times New Roman"/>
          <w:sz w:val="28"/>
          <w:szCs w:val="28"/>
        </w:rPr>
        <w:t xml:space="preserve"> в съответствие с предложение на министъра на труда и социалната политика (писмо № 33-00-154/27.05.2026 г. на М</w:t>
      </w:r>
      <w:r>
        <w:rPr>
          <w:rFonts w:ascii="Times New Roman" w:hAnsi="Times New Roman"/>
          <w:sz w:val="28"/>
          <w:szCs w:val="28"/>
        </w:rPr>
        <w:t>инистерството на труда и социалната политика)</w:t>
      </w:r>
      <w:r w:rsidRPr="00D160D1">
        <w:rPr>
          <w:rFonts w:ascii="Times New Roman" w:hAnsi="Times New Roman"/>
          <w:sz w:val="28"/>
          <w:szCs w:val="28"/>
        </w:rPr>
        <w:t>.</w:t>
      </w:r>
    </w:p>
    <w:p w14:paraId="347E3B8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Минималният осигурителен доход за самоосигуряващите се лица от 1 август 2026 г. се определя в размер на 620,20 евро.</w:t>
      </w:r>
    </w:p>
    <w:p w14:paraId="69BEB23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Максималният осигурителен доход за всички осигурени лица от 1 август 2026 г. се определя в размер на 2 300 евро.</w:t>
      </w:r>
    </w:p>
    <w:p w14:paraId="53C6CDD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осигурителната вноска за фонд „Пенсии” на ДОО на нивото от 2025 г., както и съотношението между осигурител и осигурено лице.</w:t>
      </w:r>
    </w:p>
    <w:p w14:paraId="0CD40C0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Запазват се размерите на осигурителните вноски за останалите фондове на ДОО, както и съотношението при разпределянето им между осигурител и осигурено лице на нивата от 2025 г.</w:t>
      </w:r>
    </w:p>
    <w:p w14:paraId="3DDEF8C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От 1 август 2026 г. се предвижда поетапно държавните служители по Закона за държавния служител и заетите по Закона за съдебната власт да започнат да плащат лични осигурителни вноски, при съотношение между осигурителя и осигуреното лице разпределено по отделните фондове на държавното обществено осигуряване, както следва:</w:t>
      </w:r>
    </w:p>
    <w:p w14:paraId="2DFA007F"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„Пенсии” за лицата, родени преди 1 януари 1960 г. – 19,8%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15,8% и 4%;</w:t>
      </w:r>
    </w:p>
    <w:p w14:paraId="6AF1CFB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„Пенсии” за лицата, родени след 31 декември 1959 г., които се осигуряват и за допълнително задължително пенсионно осигуряване в универсален пенсионен фонд – 14,8%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11,8% и 3%;</w:t>
      </w:r>
    </w:p>
    <w:p w14:paraId="59B9A50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„Общо заболяване и майчинство” – 3,5%</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2,8% и 0,7%;</w:t>
      </w:r>
    </w:p>
    <w:p w14:paraId="41FD9EF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„Безработица” – 1%</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0,8% и 0,2%.</w:t>
      </w:r>
    </w:p>
    <w:p w14:paraId="39C943C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При прилагането на тези промени в модела на осигуряване за посочените категории лица се предвижда компенсиране на възнагражденията с оглед </w:t>
      </w:r>
      <w:r>
        <w:rPr>
          <w:rFonts w:ascii="Times New Roman" w:hAnsi="Times New Roman"/>
          <w:sz w:val="28"/>
          <w:szCs w:val="28"/>
        </w:rPr>
        <w:t xml:space="preserve">на </w:t>
      </w:r>
      <w:r w:rsidRPr="00D160D1">
        <w:rPr>
          <w:rFonts w:ascii="Times New Roman" w:hAnsi="Times New Roman"/>
          <w:sz w:val="28"/>
          <w:szCs w:val="28"/>
        </w:rPr>
        <w:t>запазване на достигнатия нетен доход.</w:t>
      </w:r>
    </w:p>
    <w:p w14:paraId="7938EF8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2026 г. не се внасят вноски за фонд „Гарантирани вземания на работниците и служителите”.</w:t>
      </w:r>
    </w:p>
    <w:p w14:paraId="184A9CB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Определят се за приход в бюджета на Националния осигурителен институт 46 000 евро от приходите на фонд „Гарантирани вземания на работниците и служителите” – за дейностите по чл. 13 от Закона за гарантираните вземания на работниците и служителите при несъстоятелност на работодателя (ЗГВРСНР).</w:t>
      </w:r>
    </w:p>
    <w:p w14:paraId="0169C2B7"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проекта са заложени следните политики по разходите:</w:t>
      </w:r>
    </w:p>
    <w:p w14:paraId="515F917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Повишават се изискуемите възраст и осигурителен стаж при пенсиониране за работещите при условията на трета категория труд, както и минималната възраст за пенсиониране на лицата по чл. 69, чл. 69а и </w:t>
      </w:r>
      <w:r>
        <w:rPr>
          <w:rFonts w:ascii="Times New Roman" w:hAnsi="Times New Roman"/>
          <w:sz w:val="28"/>
          <w:szCs w:val="28"/>
        </w:rPr>
        <w:br/>
      </w:r>
      <w:r w:rsidRPr="00D160D1">
        <w:rPr>
          <w:rFonts w:ascii="Times New Roman" w:hAnsi="Times New Roman"/>
          <w:sz w:val="28"/>
          <w:szCs w:val="28"/>
        </w:rPr>
        <w:t>чл. 69б от КСО съгласно промените в КСО от 2015 г.</w:t>
      </w:r>
    </w:p>
    <w:p w14:paraId="5A5D4C4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Пенсиите за трудова дейност, отпуснати до 31 декември </w:t>
      </w:r>
      <w:r>
        <w:rPr>
          <w:rFonts w:ascii="Times New Roman" w:hAnsi="Times New Roman"/>
          <w:sz w:val="28"/>
          <w:szCs w:val="28"/>
        </w:rPr>
        <w:br/>
      </w:r>
      <w:r w:rsidRPr="00D160D1">
        <w:rPr>
          <w:rFonts w:ascii="Times New Roman" w:hAnsi="Times New Roman"/>
          <w:sz w:val="28"/>
          <w:szCs w:val="28"/>
        </w:rPr>
        <w:t>2025 г., се осъвременяват от 1 юли 2026 г. с решение на Надзорния съвет на НОИ с процент, определен по правилото на чл. 100 от КСО. На база отчетните данни за 2025 г. на средногодишния хармонизиран индекс на потребителските цени от 3,5% и на ръста на средния осигурителен доход за 2025 г. спрямо 2024 г. от 12,0% (отчетен среден осигурителния доход: 948,05 евро за 2025 г. и 846,44 евро за 2024 г.), процентът по чл. 100 от КСО е 7,8.</w:t>
      </w:r>
    </w:p>
    <w:p w14:paraId="48449D0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С параграф 3 от </w:t>
      </w:r>
      <w:r>
        <w:rPr>
          <w:rFonts w:ascii="Times New Roman" w:hAnsi="Times New Roman"/>
          <w:sz w:val="28"/>
          <w:szCs w:val="28"/>
        </w:rPr>
        <w:t>З</w:t>
      </w:r>
      <w:r w:rsidRPr="00D160D1">
        <w:rPr>
          <w:rFonts w:ascii="Times New Roman" w:hAnsi="Times New Roman"/>
          <w:sz w:val="28"/>
          <w:szCs w:val="28"/>
        </w:rPr>
        <w:t xml:space="preserve">аключителните разпоредби на Закона за изменение и допълнение на Закона за събирането на приходи и извършването на разходи през 2026 г. до приемането на Закона за държавния бюджет на </w:t>
      </w:r>
      <w:r w:rsidRPr="00D160D1">
        <w:rPr>
          <w:rFonts w:ascii="Times New Roman" w:hAnsi="Times New Roman"/>
          <w:sz w:val="28"/>
          <w:szCs w:val="28"/>
        </w:rPr>
        <w:lastRenderedPageBreak/>
        <w:t>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(ДВ, бр. 52 от 2026 г.) е отменена разпоредбата на § 7ж, ал. 18 от ПЗР на КСО. На това основание при отпускане на пенсии с начална дата от и след 1 юли 2026 г. в размера им след изчисляването му по реда на КСО няма да се включва допълнителна сума от 30,68 евро.</w:t>
      </w:r>
    </w:p>
    <w:p w14:paraId="0B4A0AB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От 1 юли 2026 г. минималният размер на пенсията за осигурителен стаж и възраст и свързаните с нея минимални размери на пенсиите за трудова дейност се увеличават с процента, определен по </w:t>
      </w:r>
      <w:r>
        <w:rPr>
          <w:rFonts w:ascii="Times New Roman" w:hAnsi="Times New Roman"/>
          <w:sz w:val="28"/>
          <w:szCs w:val="28"/>
        </w:rPr>
        <w:br/>
      </w:r>
      <w:r w:rsidRPr="00D160D1">
        <w:rPr>
          <w:rFonts w:ascii="Times New Roman" w:hAnsi="Times New Roman"/>
          <w:sz w:val="28"/>
          <w:szCs w:val="28"/>
        </w:rPr>
        <w:t>чл. 100 от КСО;</w:t>
      </w:r>
    </w:p>
    <w:p w14:paraId="3288CB4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От 1 юли 2026 г. размерът на социалната пенсия за старост и свързаните с нея пенсии и добавки се увеличават с процента, определен по чл. 100 от КСО. </w:t>
      </w:r>
    </w:p>
    <w:p w14:paraId="44EBCF6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През 2026 г. максималният месечен размер на получаваните една или повече пенсии се запазва на нивото от 2025 г. – 1 738,40 евро.</w:t>
      </w:r>
    </w:p>
    <w:p w14:paraId="2581072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минималният дневен размер на паричното обезщетение за безработица – 9,21 евро, както и максималният дневен размер – 54,78 евро.</w:t>
      </w:r>
    </w:p>
    <w:p w14:paraId="61FD11E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периодът на изплащане на паричното обезщетение за бременност и раждане – 410 дни, както и периодът от два месеца на изплащане на паричното обезщетение за отглеждане на дете до 8-годишна възраст от бащата (осиновителя).</w:t>
      </w:r>
    </w:p>
    <w:p w14:paraId="44A3B7F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обезщетението за отглеждане на дете до 2-годишна възраст и за отглеждане на дете до 8-годишна възраст от бащата (осиновителя) – 398,81 евро.</w:t>
      </w:r>
    </w:p>
    <w:p w14:paraId="57D610D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Запазва се възможността правоимащите лица, които не използват отпуските за бременност и раждане, при осиновяване на дете до 5-годишна възраст и за отглеждане на дете до 2-годишна възраст, да получават 50 на сто от определеното за времето на отпуска обезщетение.</w:t>
      </w:r>
    </w:p>
    <w:p w14:paraId="4A500CB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режимът на изплащане на паричните обезщетения за временна неработоспособност съгласно чл. 40, ал. 5 от КСО – първите два работни дни се изплащат от осигурителя, а от третия ден на настъпване на временната неработоспособност – от ДОО.</w:t>
      </w:r>
    </w:p>
    <w:p w14:paraId="7C0402A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периодът, доходът за който се взема предвид при изчисляване размерите на паричните обезщетения – 18 календарни месеца за паричните обезщетения при временна неработоспособност, а за бременност и раждане и безработица – 24 месеца.</w:t>
      </w:r>
    </w:p>
    <w:p w14:paraId="40E6690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еднократната помощ при смърт на осигурено лице – 276,10 евро.</w:t>
      </w:r>
    </w:p>
    <w:p w14:paraId="6259145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Прилага се разпоредбата на чл. 22, ал. 2 от ЗГВРСНР, съгласно която максималният месечен размер на гарантираното вземане не може да бъде по-малък от 2,5 минимални работни заплати. При минимална работна заплата от 620,20 евро максималният месечен размер на гарантираните вземания, изплащани от фонд „Гарантирани вземания на работниците и служителите“, се определя на 1 550,50 евро.</w:t>
      </w:r>
    </w:p>
    <w:p w14:paraId="0E6DB6F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Приходите по КБДОО са, както следва:</w:t>
      </w:r>
    </w:p>
    <w:p w14:paraId="2211743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2025 г.  –  7 779,7 млн. евро ЗБДОО,</w:t>
      </w:r>
    </w:p>
    <w:p w14:paraId="12A3D18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2026 г.  –  8 520,8 млн. евро проект.</w:t>
      </w:r>
    </w:p>
    <w:p w14:paraId="31A8D07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проектобюджета на ДОО за 2026 г. приходите са увеличени общо със 741,1 млн. евро спрямо ЗБДОО за 2025 г. при изменения, както следва:</w:t>
      </w:r>
    </w:p>
    <w:p w14:paraId="34529BE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 xml:space="preserve">641,6 млн. евро увеличение на приходите от осигурителни вноски в съответствие с основните допускания и разчетите на НАП за </w:t>
      </w:r>
      <w:r>
        <w:rPr>
          <w:rFonts w:ascii="Times New Roman" w:hAnsi="Times New Roman"/>
          <w:sz w:val="28"/>
          <w:szCs w:val="28"/>
        </w:rPr>
        <w:br/>
      </w:r>
      <w:r w:rsidRPr="00D160D1">
        <w:rPr>
          <w:rFonts w:ascii="Times New Roman" w:hAnsi="Times New Roman"/>
          <w:sz w:val="28"/>
          <w:szCs w:val="28"/>
        </w:rPr>
        <w:t>2026 г. по отношение на приходите от осигурителни вноски, както и разчетите за осигурителните вноски по реда на чл. 159 от Закона за публичните финанси в резултат на възприетите политики по доходите за 2026 г.</w:t>
      </w:r>
    </w:p>
    <w:p w14:paraId="6033E6F9"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99,5 млн. евро увеличение на неданъчните приходи основно в резултат на нарастването на постъпленията от прехвърлени акумулирани средства от осигурителни вноски по чл. 4б, чл. 4в и чл. 69б от КСО (прехвърлените във фонд „Пенсии“, фонд „Пенсии за лицата по чл. 69“ средства, натрупани по индивидуалните партиди на осигурените в универсалните и професионалните пенсионни фондове лица).</w:t>
      </w:r>
    </w:p>
    <w:p w14:paraId="4230DA8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Общият размер на приходите и получените трансфери за 2026 г. е 15 265,8 млн. евро, в т. ч. получени трансфери от централния бюджет – </w:t>
      </w:r>
      <w:r>
        <w:rPr>
          <w:rFonts w:ascii="Times New Roman" w:hAnsi="Times New Roman"/>
          <w:sz w:val="28"/>
          <w:szCs w:val="28"/>
        </w:rPr>
        <w:br/>
      </w:r>
      <w:r w:rsidRPr="00D160D1">
        <w:rPr>
          <w:rFonts w:ascii="Times New Roman" w:hAnsi="Times New Roman"/>
          <w:sz w:val="28"/>
          <w:szCs w:val="28"/>
        </w:rPr>
        <w:t>6 745,0 млн. евро (за пенсии и добавки към тях, и парични обезщетения и помощи за сметка на държавния бюджет – 265,3 млн. евро</w:t>
      </w:r>
      <w:r>
        <w:rPr>
          <w:rFonts w:ascii="Times New Roman" w:hAnsi="Times New Roman"/>
          <w:sz w:val="28"/>
          <w:szCs w:val="28"/>
        </w:rPr>
        <w:t>,</w:t>
      </w:r>
      <w:r w:rsidRPr="00D160D1">
        <w:rPr>
          <w:rFonts w:ascii="Times New Roman" w:hAnsi="Times New Roman"/>
          <w:sz w:val="28"/>
          <w:szCs w:val="28"/>
        </w:rPr>
        <w:t xml:space="preserve"> и за покриване на недостига от средства – 6 479,7 млн. евро).</w:t>
      </w:r>
    </w:p>
    <w:p w14:paraId="673CB22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сравнение със ЗБДОО за 2025 г. е планирано увеличение на трансфера от централния бюджет за покриване на недостига от средства с 494,6 млн. евро.</w:t>
      </w:r>
    </w:p>
    <w:p w14:paraId="1E8C649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Като процент от общите разходи на ДОО трансферът за покриване на недостига ще намалее от 42,7% през 2025 г. до 42,5% през 2026 г.</w:t>
      </w:r>
    </w:p>
    <w:p w14:paraId="0AFB61C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по КБДОО са, както следва:</w:t>
      </w:r>
    </w:p>
    <w:p w14:paraId="68E1D06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2025 г.  –  14 000,2 млн. евро ЗБДОО,</w:t>
      </w:r>
    </w:p>
    <w:p w14:paraId="3A03D39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2026 г.  –  15 262,0 млн. евро проект.</w:t>
      </w:r>
    </w:p>
    <w:p w14:paraId="3FD9CE4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Общият размер на разходите и предоставените трансфери за </w:t>
      </w:r>
      <w:r>
        <w:rPr>
          <w:rFonts w:ascii="Times New Roman" w:hAnsi="Times New Roman"/>
          <w:sz w:val="28"/>
          <w:szCs w:val="28"/>
        </w:rPr>
        <w:br/>
      </w:r>
      <w:r w:rsidRPr="00D160D1">
        <w:rPr>
          <w:rFonts w:ascii="Times New Roman" w:hAnsi="Times New Roman"/>
          <w:sz w:val="28"/>
          <w:szCs w:val="28"/>
        </w:rPr>
        <w:t xml:space="preserve">2026 г. е 15 265,8 млн. евро, в т.ч. предоставени трансфери в размер на </w:t>
      </w:r>
      <w:r>
        <w:rPr>
          <w:rFonts w:ascii="Times New Roman" w:hAnsi="Times New Roman"/>
          <w:sz w:val="28"/>
          <w:szCs w:val="28"/>
        </w:rPr>
        <w:br/>
      </w:r>
      <w:r w:rsidRPr="00D160D1">
        <w:rPr>
          <w:rFonts w:ascii="Times New Roman" w:hAnsi="Times New Roman"/>
          <w:sz w:val="28"/>
          <w:szCs w:val="28"/>
        </w:rPr>
        <w:t>3 783,6 хил. евро, от които 1 610,6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здравеопазването, 2 045,2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труда и социалната политика и 127,8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транспорта и съобщенията.</w:t>
      </w:r>
    </w:p>
    <w:p w14:paraId="21CA718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 планиране на разходите за пенсии е взето предвид влиянието на демографските процеси, посочените параметри на пенсионната политика и промените в условията за пенсиониране за всички категории труд върху броя на пенсионерите и размерите на пенсиите.</w:t>
      </w:r>
    </w:p>
    <w:p w14:paraId="6E7105D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Средният брой на пенсионерите за 2026 г. се очаква да нарасне до около 2 070 700 лица. Увеличението спрямо ЗБДОО за 2025 г. с около </w:t>
      </w:r>
      <w:r>
        <w:rPr>
          <w:rFonts w:ascii="Times New Roman" w:hAnsi="Times New Roman"/>
          <w:sz w:val="28"/>
          <w:szCs w:val="28"/>
        </w:rPr>
        <w:br/>
      </w:r>
      <w:r w:rsidRPr="00D160D1">
        <w:rPr>
          <w:rFonts w:ascii="Times New Roman" w:hAnsi="Times New Roman"/>
          <w:sz w:val="28"/>
          <w:szCs w:val="28"/>
        </w:rPr>
        <w:t xml:space="preserve">10 900 лица се обуславя от започналата през 2023 г. нарастваща тенденция в броя на новоотпуснатите пенсии, която се очаква да продължи и през </w:t>
      </w:r>
      <w:r>
        <w:rPr>
          <w:rFonts w:ascii="Times New Roman" w:hAnsi="Times New Roman"/>
          <w:sz w:val="28"/>
          <w:szCs w:val="28"/>
        </w:rPr>
        <w:br/>
      </w:r>
      <w:r w:rsidRPr="00D160D1">
        <w:rPr>
          <w:rFonts w:ascii="Times New Roman" w:hAnsi="Times New Roman"/>
          <w:sz w:val="28"/>
          <w:szCs w:val="28"/>
        </w:rPr>
        <w:t>2026 г.</w:t>
      </w:r>
    </w:p>
    <w:p w14:paraId="00F9770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Причините за нарастващия брой новоотпуснати пенсии са няколко:</w:t>
      </w:r>
    </w:p>
    <w:p w14:paraId="7D58E9E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Със Закона за допълнение на Кодекса за социално осигуряване </w:t>
      </w:r>
      <w:r>
        <w:rPr>
          <w:rFonts w:ascii="Times New Roman" w:hAnsi="Times New Roman"/>
          <w:sz w:val="28"/>
          <w:szCs w:val="28"/>
        </w:rPr>
        <w:t>(</w:t>
      </w:r>
      <w:r w:rsidRPr="00D160D1">
        <w:rPr>
          <w:rFonts w:ascii="Times New Roman" w:hAnsi="Times New Roman"/>
          <w:sz w:val="28"/>
          <w:szCs w:val="28"/>
        </w:rPr>
        <w:t>ЗД на КСО</w:t>
      </w:r>
      <w:r>
        <w:rPr>
          <w:rFonts w:ascii="Times New Roman" w:hAnsi="Times New Roman"/>
          <w:sz w:val="28"/>
          <w:szCs w:val="28"/>
        </w:rPr>
        <w:t>)</w:t>
      </w:r>
      <w:r w:rsidRPr="00D160D1">
        <w:rPr>
          <w:rFonts w:ascii="Times New Roman" w:hAnsi="Times New Roman"/>
          <w:sz w:val="28"/>
          <w:szCs w:val="28"/>
        </w:rPr>
        <w:t xml:space="preserve"> (обн., ДВ, бр. 8 от 25.01.2023 г., в сила от 29 януари 2023 г.) е допълнена разпоредбата на § 1, ал. 1, т. 12 от Допълнителните разпоредби на Кодекса за социално осигуряване, по силата на която за действителен стаж се признава и периодът на наборна или мирновременна алтернативна служба, както и периодите по чл. 7 от Закона за политическа и гражданска реабилитация на репресирани лица (ЗПГРРЛ). Понятието „действителен стаж” е от значение при отпускането на пенсии за осигурителен стаж и възраст по чл. 68, ал. 3 от КСО, както и на пенсии за инвалидност поради общо заболяване, с оглед </w:t>
      </w:r>
      <w:r>
        <w:rPr>
          <w:rFonts w:ascii="Times New Roman" w:hAnsi="Times New Roman"/>
          <w:sz w:val="28"/>
          <w:szCs w:val="28"/>
        </w:rPr>
        <w:t xml:space="preserve">на </w:t>
      </w:r>
      <w:r w:rsidRPr="00D160D1">
        <w:rPr>
          <w:rFonts w:ascii="Times New Roman" w:hAnsi="Times New Roman"/>
          <w:sz w:val="28"/>
          <w:szCs w:val="28"/>
        </w:rPr>
        <w:t xml:space="preserve">изискванията на чл. 74 от КСО. И двете разпоредби обвързват придобиването на право на пенсия с наличието на действителен </w:t>
      </w:r>
      <w:r w:rsidRPr="00D160D1">
        <w:rPr>
          <w:rFonts w:ascii="Times New Roman" w:hAnsi="Times New Roman"/>
          <w:sz w:val="28"/>
          <w:szCs w:val="28"/>
        </w:rPr>
        <w:lastRenderedPageBreak/>
        <w:t>стаж с определена минимална продължителност. Поради това разширяването на периодите, които се зачитат за действителен стаж, води до увеличение в броя на правоимащите лица, които изпълняват изискването за наличие на действителен стаж, равен или с по-висока от минималната продължителност.</w:t>
      </w:r>
    </w:p>
    <w:p w14:paraId="5711A43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На следващо място, с Постановление № 13 на Министерския съвет за изменение и допълнение на Наредбата за медицинската експертиза (обн., ДВ, бр. 10 от 31.01.2023 г.) е променена Методиката за определяне на трайно намалената работоспособност. Преди промяната на Методиката основното правило при определяне на трайно намалената работоспособност/вид и степен на увреждане при множество увреждания е да се вземе най-високият процент по съответната отправна точка на най-тежкото увреждане, а останалите проценти, които съответстват на съпътстващите увреждания</w:t>
      </w:r>
      <w:r>
        <w:rPr>
          <w:rFonts w:ascii="Times New Roman" w:hAnsi="Times New Roman"/>
          <w:sz w:val="28"/>
          <w:szCs w:val="28"/>
        </w:rPr>
        <w:t>,</w:t>
      </w:r>
      <w:r w:rsidRPr="00D160D1">
        <w:rPr>
          <w:rFonts w:ascii="Times New Roman" w:hAnsi="Times New Roman"/>
          <w:sz w:val="28"/>
          <w:szCs w:val="28"/>
        </w:rPr>
        <w:t xml:space="preserve"> да не се вземат предвид. След промяната на Методиката общият процент трайно намалена работоспособност/вид и степен на увреждане се определя, като към най-високия процент на най-тежкото увреждане се прибавят 20% от сбора на процентите на всички съпътстващи увреждания.</w:t>
      </w:r>
    </w:p>
    <w:p w14:paraId="5AD50BC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Това обстоятелство допринася за увеличаването на броя на новоотпуснатите пенсии за инвалидност, както и на разходите на държавното обществено осигуряване.</w:t>
      </w:r>
    </w:p>
    <w:p w14:paraId="3A317D3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Средният размер на пенсията на един пенсионер през 2026 г. се предвижда да достигне 543,46 евро. Номиналното нарастване е 9,0 на сто при среден размер в ЗБДОО за 2025 г. – 498,61 евро. Очаква се реален ръст на пенсиите от 4,5 на сто през 2026 г. при прогнозирана стойност на средногодишната инфлация по хармонизирания индекс на потребителските цени от 4,3 на сто за 2026 г.</w:t>
      </w:r>
    </w:p>
    <w:p w14:paraId="179CF84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Брутният коефициент на заместване на дохода за 2026 г. се очаква да бъде 51,9 на сто, а нетният коефициент на заместване се очаква да достигне 66,8 на сто.</w:t>
      </w:r>
    </w:p>
    <w:p w14:paraId="7BEE7597"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Разходите за пенсии през 2026 г. се очаква да бъдат в размер на </w:t>
      </w:r>
      <w:r>
        <w:rPr>
          <w:rFonts w:ascii="Times New Roman" w:hAnsi="Times New Roman"/>
          <w:sz w:val="28"/>
          <w:szCs w:val="28"/>
        </w:rPr>
        <w:br/>
      </w:r>
      <w:r w:rsidRPr="00D160D1">
        <w:rPr>
          <w:rFonts w:ascii="Times New Roman" w:hAnsi="Times New Roman"/>
          <w:sz w:val="28"/>
          <w:szCs w:val="28"/>
        </w:rPr>
        <w:t>13 503,9 млн. евро. В планираните средства са включени разходите за пенсии от ДОО и от държавния бюджет, както и добавките към пенсиите на ветераните от войните, добавките към пенсиите на репресираните лица по чл. 9 от ЗПГРРЛ и добавката по чл. 4 от Закона за уреждане на някои трудови и осигурителни права на български граждани. Предвидените разходи са с 1 179,9 млн. евро</w:t>
      </w:r>
      <w:r>
        <w:rPr>
          <w:rFonts w:ascii="Times New Roman" w:hAnsi="Times New Roman"/>
          <w:sz w:val="28"/>
          <w:szCs w:val="28"/>
        </w:rPr>
        <w:t>,</w:t>
      </w:r>
      <w:r w:rsidRPr="00D160D1">
        <w:rPr>
          <w:rFonts w:ascii="Times New Roman" w:hAnsi="Times New Roman"/>
          <w:sz w:val="28"/>
          <w:szCs w:val="28"/>
        </w:rPr>
        <w:t xml:space="preserve"> или с 9,6% повече средства за пенсии спрямо ЗБДОО за 2025 г. Разликата се дължи основно на предвидени допълнителни средства за:</w:t>
      </w:r>
    </w:p>
    <w:p w14:paraId="062216F9"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целогодишното изплащане на увеличените от 1 юли 2025 г. с 8,6% размери на пенсиите за трудова дейност, на минималния размер на пенсията за осигурителен стаж и възраст и на социалната пенсия за старост, както и на обвързаните с тях минимални размери на пенсии и добавки – 519,0 млн. евро допълнително;</w:t>
      </w:r>
    </w:p>
    <w:p w14:paraId="64D7FE5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осъвременяване на пенсиите от 1 юли 2026 г. със 7,8%, увеличаване със същия процент на минималния размер на пенсията за осигурителен стаж и възраст и на социалната пенсия за старост, както и на обвързаните с тях размери на пенсии и добавки – 513,1 млн. евро допълнително;</w:t>
      </w:r>
    </w:p>
    <w:p w14:paraId="4D4505B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изплащане на социалната пенсия за старост в съответствие с направената през 2023 г. промяна в чл. 89а от КСО относно определяне правото за получаване на този вид пенсия – 4,3 млн. евро допълнително;</w:t>
      </w:r>
    </w:p>
    <w:p w14:paraId="6BF8A9C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 xml:space="preserve"> изплащане на добавка за чужда помощ в съответствие с приетата през 2023 г. промяна в чл. 103 от КСО, с която се увеличава обхват</w:t>
      </w:r>
      <w:r>
        <w:rPr>
          <w:rFonts w:ascii="Times New Roman" w:hAnsi="Times New Roman"/>
          <w:sz w:val="28"/>
          <w:szCs w:val="28"/>
        </w:rPr>
        <w:t>ът</w:t>
      </w:r>
      <w:r w:rsidRPr="00D160D1">
        <w:rPr>
          <w:rFonts w:ascii="Times New Roman" w:hAnsi="Times New Roman"/>
          <w:sz w:val="28"/>
          <w:szCs w:val="28"/>
        </w:rPr>
        <w:t xml:space="preserve"> на правоимащите лица, получаващи добавка за чужда помощ – 25,5 млн. евро допълнително;</w:t>
      </w:r>
    </w:p>
    <w:p w14:paraId="3D95F389"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увеличение на броя на новоотпуснатите пенсии по чл. 68, ал. 3 и по чл. 74 от КСО в резултат на разширяването на дефиницията на понятието „Действителен стаж“ в § 1, ал. 1, т. 12 от </w:t>
      </w:r>
      <w:r>
        <w:rPr>
          <w:rFonts w:ascii="Times New Roman" w:hAnsi="Times New Roman"/>
          <w:sz w:val="28"/>
          <w:szCs w:val="28"/>
        </w:rPr>
        <w:t>Д</w:t>
      </w:r>
      <w:r w:rsidRPr="00D160D1">
        <w:rPr>
          <w:rFonts w:ascii="Times New Roman" w:hAnsi="Times New Roman"/>
          <w:sz w:val="28"/>
          <w:szCs w:val="28"/>
        </w:rPr>
        <w:t>опълнителните разпоредби на КСО и на промяната в Методиката за определяне процента на трайно намалена работоспособност – 62,8 млн. евро допълнително;</w:t>
      </w:r>
    </w:p>
    <w:p w14:paraId="3CACAA1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служебно преизчисляване от 1 април всяка година за допълнително положен осигурителен стаж след упражняване правото на пенсия – 48,0 млн. евро допълнително;</w:t>
      </w:r>
    </w:p>
    <w:p w14:paraId="4706B7C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естествен ръст на разходите за пенсии, дължащ се на по-високите размери на новоотпуснатите пенсии в сравнение с размерите на прекратените, както и на изменението на някои пенсии от по-нисък в по-висок размер – 12,6 млн. евро допълнително;</w:t>
      </w:r>
    </w:p>
    <w:p w14:paraId="67C4612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изплащането на т.нар. „Великденска добавка“ през месец април 2026 г. – увеличение с 57,8 млн. евро;</w:t>
      </w:r>
    </w:p>
    <w:p w14:paraId="73D0AAB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изплащането на „Великденска добавка“ през месец април </w:t>
      </w:r>
      <w:r>
        <w:rPr>
          <w:rFonts w:ascii="Times New Roman" w:hAnsi="Times New Roman"/>
          <w:sz w:val="28"/>
          <w:szCs w:val="28"/>
        </w:rPr>
        <w:br/>
      </w:r>
      <w:r w:rsidRPr="00D160D1">
        <w:rPr>
          <w:rFonts w:ascii="Times New Roman" w:hAnsi="Times New Roman"/>
          <w:sz w:val="28"/>
          <w:szCs w:val="28"/>
        </w:rPr>
        <w:t>2025 г. – намаление с 16,0 млн. евро;</w:t>
      </w:r>
    </w:p>
    <w:p w14:paraId="27318D7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изплащането на т.нар. „Коледна добавка“ през месец декември 2025 г. – намаление с 29,0 млн. евро;</w:t>
      </w:r>
    </w:p>
    <w:p w14:paraId="330BD7A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отпадане на т.нар. „Ковид добавка“ от 30,68 евро (60 лв.) за новоотпуснатите пенсии – намаление с 2,9 млн. евро;</w:t>
      </w:r>
    </w:p>
    <w:p w14:paraId="685C227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финансов ефект от промяната в условията за пенсиониране – намаление с 15,3 млн. евро.</w:t>
      </w:r>
    </w:p>
    <w:p w14:paraId="31A2128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Разходът за пенсии през 2026 г. се очаква да бъде около 10,8% от прогнозния БВП за същата година.</w:t>
      </w:r>
    </w:p>
    <w:p w14:paraId="31AEB2B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Разходите за паричните обезщетения и помощи за 2026 г. са съобразени с прогнозирания брой на осигурените лица и осигурителния им доход. За 2026 г. общият разход за парични обезщетения и помощи възлиза на 1 653,6 млн. евро, което е с 81,9 млн. евро повече спрямо ЗБДОО за </w:t>
      </w:r>
      <w:r>
        <w:rPr>
          <w:rFonts w:ascii="Times New Roman" w:hAnsi="Times New Roman"/>
          <w:sz w:val="28"/>
          <w:szCs w:val="28"/>
        </w:rPr>
        <w:br/>
      </w:r>
      <w:r w:rsidRPr="00D160D1">
        <w:rPr>
          <w:rFonts w:ascii="Times New Roman" w:hAnsi="Times New Roman"/>
          <w:sz w:val="28"/>
          <w:szCs w:val="28"/>
        </w:rPr>
        <w:t>2025 г.</w:t>
      </w:r>
    </w:p>
    <w:p w14:paraId="160A19B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основните групи краткосрочни обезщетения и парични помощи по КСО са:</w:t>
      </w:r>
    </w:p>
    <w:p w14:paraId="1C89BDD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временна неработоспособност поради общо заболяване, гледане на болен член от семейството и карантина и нетрудови злополуки – 755,1 млн. евро. Планирани са обезщетения за 21 132,1 хиляди дни при среднодневно обезщетение от 35,73 евро.</w:t>
      </w:r>
    </w:p>
    <w:p w14:paraId="6B45206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трудова злополука и професионална болест – 8,1 млн. евро. Планирани са обезщетения за 200,7 хиляди дни за временна неработоспособност поради трудова злополука и професионална болест при среднодневно обезщетение от 40,29 евро.</w:t>
      </w:r>
    </w:p>
    <w:p w14:paraId="55F8B87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бременност и раждане – 400,2 млн. евро. Планирани са обезщетения за 9 778,1 хиляди дни за временна неработоспособност поради бременност и раждане при среднодневно обезщетение от 40,93 евро.</w:t>
      </w:r>
    </w:p>
    <w:p w14:paraId="41CA0ED7"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Обезщетения за отглеждане на дете до двегодишна възраст – планираните обезщетения за отглеждане на дете до двегодишна възраст са </w:t>
      </w:r>
      <w:r w:rsidRPr="00D160D1">
        <w:rPr>
          <w:rFonts w:ascii="Times New Roman" w:hAnsi="Times New Roman"/>
          <w:sz w:val="28"/>
          <w:szCs w:val="28"/>
        </w:rPr>
        <w:lastRenderedPageBreak/>
        <w:t xml:space="preserve">разчетени при размер на обезщетението от 398,81 евро и възлизат на </w:t>
      </w:r>
      <w:r>
        <w:rPr>
          <w:rFonts w:ascii="Times New Roman" w:hAnsi="Times New Roman"/>
          <w:sz w:val="28"/>
          <w:szCs w:val="28"/>
        </w:rPr>
        <w:br/>
      </w:r>
      <w:r w:rsidRPr="00D160D1">
        <w:rPr>
          <w:rFonts w:ascii="Times New Roman" w:hAnsi="Times New Roman"/>
          <w:sz w:val="28"/>
          <w:szCs w:val="28"/>
        </w:rPr>
        <w:t>154,2 млн. евро.</w:t>
      </w:r>
    </w:p>
    <w:p w14:paraId="7FA824D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осиновяване на дете до петгодишна възраст – 2,5 млн. евро.</w:t>
      </w:r>
    </w:p>
    <w:p w14:paraId="709B65E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отглеждане на дете до осемгодишна възраст от бащата/осиновителя – 1,3 млн. евро.</w:t>
      </w:r>
    </w:p>
    <w:p w14:paraId="14A09E7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Парични обезщетения за безработица – 311,9 млн. евро. Планираните обезщетения са за 66,1 хиляди правоимащи лица средно на месец през годината, със средномесечен размер на обезщетението от </w:t>
      </w:r>
      <w:r>
        <w:rPr>
          <w:rFonts w:ascii="Times New Roman" w:hAnsi="Times New Roman"/>
          <w:sz w:val="28"/>
          <w:szCs w:val="28"/>
        </w:rPr>
        <w:br/>
      </w:r>
      <w:r w:rsidRPr="00D160D1">
        <w:rPr>
          <w:rFonts w:ascii="Times New Roman" w:hAnsi="Times New Roman"/>
          <w:sz w:val="28"/>
          <w:szCs w:val="28"/>
        </w:rPr>
        <w:t>393,24 евро.</w:t>
      </w:r>
    </w:p>
    <w:p w14:paraId="70EB1AF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Финансиране на дейността по профилактика и </w:t>
      </w:r>
      <w:r>
        <w:rPr>
          <w:rFonts w:ascii="Times New Roman" w:hAnsi="Times New Roman"/>
          <w:sz w:val="28"/>
          <w:szCs w:val="28"/>
        </w:rPr>
        <w:br/>
      </w:r>
      <w:r w:rsidRPr="00D160D1">
        <w:rPr>
          <w:rFonts w:ascii="Times New Roman" w:hAnsi="Times New Roman"/>
          <w:sz w:val="28"/>
          <w:szCs w:val="28"/>
        </w:rPr>
        <w:t>рехабилитация – 19,1 млн. евро.</w:t>
      </w:r>
    </w:p>
    <w:p w14:paraId="067614E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Планираните разходи за групата “Програми, дейности и служби по социалното осигуряване, подпомагане и заетостта” са в размер на </w:t>
      </w:r>
      <w:r>
        <w:rPr>
          <w:rFonts w:ascii="Times New Roman" w:hAnsi="Times New Roman"/>
          <w:sz w:val="28"/>
          <w:szCs w:val="28"/>
        </w:rPr>
        <w:br/>
      </w:r>
      <w:r w:rsidRPr="00D160D1">
        <w:rPr>
          <w:rFonts w:ascii="Times New Roman" w:hAnsi="Times New Roman"/>
          <w:sz w:val="28"/>
          <w:szCs w:val="28"/>
        </w:rPr>
        <w:t>103,5 млн. евро. Относителният дял на разходите за тази група спрямо всички разходи на КБДОО за 2026 г. е 0,68 на сто.</w:t>
      </w:r>
    </w:p>
    <w:p w14:paraId="7B0CAAF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персонал са в размер на 74,2 млн. евро. Спрямо ЗБДОО 2025 г. е предвидено нетно увеличение на разходите с 2,0 млн. евро като резултат от:</w:t>
      </w:r>
    </w:p>
    <w:p w14:paraId="3007F01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увеличението на размера на минималната работна заплата и размера на максималния осигурителен доход през 2026 г.;</w:t>
      </w:r>
    </w:p>
    <w:p w14:paraId="3B938AD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еднократната индексация с 5 на сто от 1 януари 2026 г. на основните месечни заплати на служителите в бюджетните организации в размер на натрупаната към 31 декември 2025 г. годишна инфлация (по данни на НСИ натрупаната годишната инфлация съгласно индекса на </w:t>
      </w:r>
      <w:r w:rsidRPr="00D160D1">
        <w:rPr>
          <w:rFonts w:ascii="Times New Roman" w:hAnsi="Times New Roman"/>
          <w:sz w:val="28"/>
          <w:szCs w:val="28"/>
        </w:rPr>
        <w:lastRenderedPageBreak/>
        <w:t>потребителските цени е 5,0 на сто – РМС № 47 от 21.01.2026 г.) в изпълнение на чл. 3, ал. 2, изречение трето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w:t>
      </w:r>
    </w:p>
    <w:p w14:paraId="264208B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намаление с 10 на сто считано от 1 септември 2026 г. (за </w:t>
      </w:r>
      <w:r>
        <w:rPr>
          <w:rFonts w:ascii="Times New Roman" w:hAnsi="Times New Roman"/>
          <w:sz w:val="28"/>
          <w:szCs w:val="28"/>
        </w:rPr>
        <w:br/>
      </w:r>
      <w:r w:rsidRPr="00D160D1">
        <w:rPr>
          <w:rFonts w:ascii="Times New Roman" w:hAnsi="Times New Roman"/>
          <w:sz w:val="28"/>
          <w:szCs w:val="28"/>
        </w:rPr>
        <w:t>4 месеца за 2026 г.) на разходите за заплати и възнаграждения на персонала по трудови и служебни правоотношения и свързаните с тях задължителни осигурителни вноски от работодатели на база указанията на министъра на финансите (БЮ № 2 от 18 май 2026 г.) за оптимизация на бюджетните разходи.</w:t>
      </w:r>
    </w:p>
    <w:p w14:paraId="4E55073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Предвиденото от 01.08.2026 г. поетапно заплащане от държавните служители по Закона за държавния служител на лични осигурителни вноски при определено съотношение между осигурителя и осигуреното лице. При прилагането на този модел на осигуряване за </w:t>
      </w:r>
      <w:r>
        <w:rPr>
          <w:rFonts w:ascii="Times New Roman" w:hAnsi="Times New Roman"/>
          <w:sz w:val="28"/>
          <w:szCs w:val="28"/>
        </w:rPr>
        <w:br/>
      </w:r>
      <w:r w:rsidRPr="00D160D1">
        <w:rPr>
          <w:rFonts w:ascii="Times New Roman" w:hAnsi="Times New Roman"/>
          <w:sz w:val="28"/>
          <w:szCs w:val="28"/>
        </w:rPr>
        <w:t>2026 г. за служителите на НОИ се предвижда компенсиране на възнагражденията с оглед</w:t>
      </w:r>
      <w:r>
        <w:rPr>
          <w:rFonts w:ascii="Times New Roman" w:hAnsi="Times New Roman"/>
          <w:sz w:val="28"/>
          <w:szCs w:val="28"/>
        </w:rPr>
        <w:t xml:space="preserve"> на</w:t>
      </w:r>
      <w:r w:rsidRPr="00D160D1">
        <w:rPr>
          <w:rFonts w:ascii="Times New Roman" w:hAnsi="Times New Roman"/>
          <w:sz w:val="28"/>
          <w:szCs w:val="28"/>
        </w:rPr>
        <w:t xml:space="preserve"> запазване на достигнатия нетен доход.</w:t>
      </w:r>
    </w:p>
    <w:p w14:paraId="2F0254F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административна издръжка са в размер на 27,0 млн. евро. Планираните средства за капиталови разходи за 2026 г. са в размер на 1,9 млн. евро. Предвидените средства са съобразени с насоките на министъра на финансите за прилагане на мерки за оптимизиране на разходите, така че за последните пет месеца на 2026 г. те да не надвишават 90 на сто от общото ниво на разходите по бюджета на ДОО за 2025 г. Изключение е направено за разходите, свързани с изплащаните компенсации на „Български пощи” ЕАД в размер на 15,0 млн. евро, за извършване на обществената услуга по изплащане на пенсии чрез пощенски станции.</w:t>
      </w:r>
    </w:p>
    <w:p w14:paraId="07828A5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За 2026 г. планираните средства за дейности 282 „Отбранително-мобилизационна подготовка, поддържане на запаси и мощности” и 283 „Превантивна дейност за намаляване на вредните последствия от бедствия и аварии” са в размер на 131 100 евро и са предназначени, както следва:</w:t>
      </w:r>
    </w:p>
    <w:p w14:paraId="3601A95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по Дейност 282 – финансиране на възнаграждения на персонала и осигурителните вноски за тях, издръжка на дейността, закупуване на индивидуални средства за защита</w:t>
      </w:r>
      <w:r>
        <w:rPr>
          <w:rFonts w:ascii="Times New Roman" w:hAnsi="Times New Roman"/>
          <w:sz w:val="28"/>
          <w:szCs w:val="28"/>
        </w:rPr>
        <w:t>;</w:t>
      </w:r>
    </w:p>
    <w:p w14:paraId="78CAF70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по Дейност 283 – за финансово осигуряване на ресурси за провеждане на превантивни мероприятия и организиране на начални спасителни и други неотложни мероприятия при възникването на бедствия (кризи, аварии и катастрофи)</w:t>
      </w:r>
      <w:r>
        <w:rPr>
          <w:rFonts w:ascii="Times New Roman" w:hAnsi="Times New Roman"/>
          <w:sz w:val="28"/>
          <w:szCs w:val="28"/>
        </w:rPr>
        <w:t>,</w:t>
      </w:r>
      <w:r w:rsidRPr="00D160D1">
        <w:rPr>
          <w:rFonts w:ascii="Times New Roman" w:hAnsi="Times New Roman"/>
          <w:sz w:val="28"/>
          <w:szCs w:val="28"/>
        </w:rPr>
        <w:t xml:space="preserve"> засягащи ЦУ на НОИ, неговите териториални поделения и системата на социалното осигуряване в страната.</w:t>
      </w:r>
    </w:p>
    <w:p w14:paraId="1D73A1C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По проектобюджетите на отделните фондове за 2026 г. резултатите са следните:</w:t>
      </w:r>
    </w:p>
    <w:p w14:paraId="78115DA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 недостиг от 6 633,4 млн. евро;</w:t>
      </w:r>
    </w:p>
    <w:p w14:paraId="4D41AE4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за лицата по чл. 69” – недостиг от 60,4 млн. евро;</w:t>
      </w:r>
    </w:p>
    <w:p w14:paraId="6BC783A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несвързани с трудова дейност” – недостиг от</w:t>
      </w:r>
      <w:r>
        <w:rPr>
          <w:rFonts w:ascii="Times New Roman" w:hAnsi="Times New Roman"/>
          <w:sz w:val="28"/>
          <w:szCs w:val="28"/>
        </w:rPr>
        <w:t xml:space="preserve"> </w:t>
      </w:r>
      <w:r w:rsidRPr="00D160D1">
        <w:rPr>
          <w:rFonts w:ascii="Times New Roman" w:hAnsi="Times New Roman"/>
          <w:sz w:val="28"/>
          <w:szCs w:val="28"/>
        </w:rPr>
        <w:t>0,02 млн. евро;</w:t>
      </w:r>
    </w:p>
    <w:p w14:paraId="6013724A"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„Трудова злополука и професионална болест” – излишък от</w:t>
      </w:r>
      <w:r>
        <w:rPr>
          <w:rFonts w:ascii="Times New Roman" w:hAnsi="Times New Roman"/>
          <w:sz w:val="28"/>
          <w:szCs w:val="28"/>
        </w:rPr>
        <w:t xml:space="preserve"> </w:t>
      </w:r>
      <w:r w:rsidRPr="00D160D1">
        <w:rPr>
          <w:rFonts w:ascii="Times New Roman" w:hAnsi="Times New Roman"/>
          <w:sz w:val="28"/>
          <w:szCs w:val="28"/>
        </w:rPr>
        <w:t>186,8 млн. евро;</w:t>
      </w:r>
    </w:p>
    <w:p w14:paraId="6514773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„Общо заболяване и майчинство“ – недостиг от 43,3 млн. евро;</w:t>
      </w:r>
    </w:p>
    <w:p w14:paraId="5D2D8BBC"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„Безработица” – излишък от 43,6 млн. евро;</w:t>
      </w:r>
    </w:p>
    <w:p w14:paraId="37568B9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Бюджет на НОИ – излишък от 6 506,7 млн. евро.</w:t>
      </w:r>
    </w:p>
    <w:p w14:paraId="0E35964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Общият резултат по фондовете и по бюджета на НОИ се балансира на нула.</w:t>
      </w:r>
    </w:p>
    <w:p w14:paraId="38D27EF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Преходните и заключителните разпоредби (ПЗР) на Закона за бюджета на държавното обществено осигуряване за 2026 г. се предлагат промени, свързани с осъществяването на политиката в областта на държавното обществено осигуряване.</w:t>
      </w:r>
    </w:p>
    <w:p w14:paraId="7E5D1EB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Предвидено е, че през 2026 г. не се прилага § 6 от ПЗР на Кодекса за социално осигуряване (КСО), който урежда механизма за определяне на максималния размер на получаваните една или повече пенсии без добавките към тях (40 на сто от максималния месечен размер на осигурителния доход). За 2026 г. максималният размер на получаваните една или повече пенсии без добавките към тях се запазва на нивото от </w:t>
      </w:r>
      <w:r>
        <w:rPr>
          <w:rFonts w:ascii="Times New Roman" w:hAnsi="Times New Roman"/>
          <w:sz w:val="28"/>
          <w:szCs w:val="28"/>
        </w:rPr>
        <w:br/>
      </w:r>
      <w:r w:rsidRPr="00D160D1">
        <w:rPr>
          <w:rFonts w:ascii="Times New Roman" w:hAnsi="Times New Roman"/>
          <w:sz w:val="28"/>
          <w:szCs w:val="28"/>
        </w:rPr>
        <w:t>2025 г. и се определя в размер 1 738,40 евро.</w:t>
      </w:r>
    </w:p>
    <w:p w14:paraId="55706F0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 § 6 от ПЗР на законопроекта с</w:t>
      </w:r>
      <w:r>
        <w:rPr>
          <w:rFonts w:ascii="Times New Roman" w:hAnsi="Times New Roman"/>
          <w:sz w:val="28"/>
          <w:szCs w:val="28"/>
        </w:rPr>
        <w:t>е</w:t>
      </w:r>
      <w:r w:rsidRPr="00D160D1">
        <w:rPr>
          <w:rFonts w:ascii="Times New Roman" w:hAnsi="Times New Roman"/>
          <w:sz w:val="28"/>
          <w:szCs w:val="28"/>
        </w:rPr>
        <w:t xml:space="preserve"> предлагат изменения на разпоредби в КСО.</w:t>
      </w:r>
    </w:p>
    <w:p w14:paraId="555F646F"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Във връзка с предприетите мерки за фискална консолидация и оптимизация на разходите се предвижда от 1 август 2026 г. поетапно държавните служители по Закона за държавния служител и заетите по Закона за съдебната власт да започнат да заплащат лични осигурителни вноски при съотношение между осигурителя и осигуреното лице разпределено по отделните фондове на държавното обществено осигуряване, както следва:</w:t>
      </w:r>
    </w:p>
    <w:p w14:paraId="479CE5D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„Пенсии” за лицата, родени преди 1 януари 1960 г. – 19,8%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15,8% и 4%;</w:t>
      </w:r>
    </w:p>
    <w:p w14:paraId="6929678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за фонд „Пенсии” за лицата, родени след 31 декември 1959 г., които се осигуряват и за допълнително задължително пенсионно осигуряване </w:t>
      </w:r>
      <w:r w:rsidRPr="00D160D1">
        <w:rPr>
          <w:rFonts w:ascii="Times New Roman" w:hAnsi="Times New Roman"/>
          <w:sz w:val="28"/>
          <w:szCs w:val="28"/>
        </w:rPr>
        <w:lastRenderedPageBreak/>
        <w:t>в универсален пенсионен фонд – 14,8%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11,8% и 3%;</w:t>
      </w:r>
    </w:p>
    <w:p w14:paraId="74768A4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„Общо заболяване и майчинство” – 3,5%</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2,8% и 0,7%;</w:t>
      </w:r>
    </w:p>
    <w:p w14:paraId="02A2A70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„Безработица” – 1%</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0,8% и 0,2%.</w:t>
      </w:r>
    </w:p>
    <w:p w14:paraId="34EE48B4"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От 1 януари 2027 г. съотношението между осигурителя и осигуреното лице достига размерите и съотношенията за категорията лица, които и към момента заплащат личните си осигурителни вноски съобразно установеното в чл. 6, ал. 3, т. 7, чл. 6, ал. 1, т. 4, б</w:t>
      </w:r>
      <w:r>
        <w:rPr>
          <w:rFonts w:ascii="Times New Roman" w:hAnsi="Times New Roman"/>
          <w:sz w:val="28"/>
          <w:szCs w:val="28"/>
        </w:rPr>
        <w:t>уква</w:t>
      </w:r>
      <w:r w:rsidRPr="00D160D1">
        <w:rPr>
          <w:rFonts w:ascii="Times New Roman" w:hAnsi="Times New Roman"/>
          <w:sz w:val="28"/>
          <w:szCs w:val="28"/>
        </w:rPr>
        <w:t xml:space="preserve"> „а“ и „б“</w:t>
      </w:r>
      <w:r>
        <w:rPr>
          <w:rFonts w:ascii="Times New Roman" w:hAnsi="Times New Roman"/>
          <w:sz w:val="28"/>
          <w:szCs w:val="28"/>
        </w:rPr>
        <w:t>,</w:t>
      </w:r>
      <w:r w:rsidRPr="00D160D1">
        <w:rPr>
          <w:rFonts w:ascii="Times New Roman" w:hAnsi="Times New Roman"/>
          <w:sz w:val="28"/>
          <w:szCs w:val="28"/>
        </w:rPr>
        <w:t xml:space="preserve"> ал. 3, т. 8, б</w:t>
      </w:r>
      <w:r>
        <w:rPr>
          <w:rFonts w:ascii="Times New Roman" w:hAnsi="Times New Roman"/>
          <w:sz w:val="28"/>
          <w:szCs w:val="28"/>
        </w:rPr>
        <w:t>уква</w:t>
      </w:r>
      <w:r w:rsidRPr="00D160D1">
        <w:rPr>
          <w:rFonts w:ascii="Times New Roman" w:hAnsi="Times New Roman"/>
          <w:sz w:val="28"/>
          <w:szCs w:val="28"/>
        </w:rPr>
        <w:t xml:space="preserve"> „а“ и т. 9, б</w:t>
      </w:r>
      <w:r>
        <w:rPr>
          <w:rFonts w:ascii="Times New Roman" w:hAnsi="Times New Roman"/>
          <w:sz w:val="28"/>
          <w:szCs w:val="28"/>
        </w:rPr>
        <w:t>уква</w:t>
      </w:r>
      <w:r w:rsidRPr="00D160D1">
        <w:rPr>
          <w:rFonts w:ascii="Times New Roman" w:hAnsi="Times New Roman"/>
          <w:sz w:val="28"/>
          <w:szCs w:val="28"/>
        </w:rPr>
        <w:t xml:space="preserve"> „б“ </w:t>
      </w:r>
      <w:r>
        <w:rPr>
          <w:rFonts w:ascii="Times New Roman" w:hAnsi="Times New Roman"/>
          <w:sz w:val="28"/>
          <w:szCs w:val="28"/>
        </w:rPr>
        <w:t xml:space="preserve">от </w:t>
      </w:r>
      <w:r w:rsidRPr="00D160D1">
        <w:rPr>
          <w:rFonts w:ascii="Times New Roman" w:hAnsi="Times New Roman"/>
          <w:sz w:val="28"/>
          <w:szCs w:val="28"/>
        </w:rPr>
        <w:t>КСО.</w:t>
      </w:r>
    </w:p>
    <w:p w14:paraId="3467EBB9"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 прилагането на тези промени на модела на осигуряване за 2026 г. за служителите на НОИ се предвижда компенсиране на възнагражденията с оглед</w:t>
      </w:r>
      <w:r>
        <w:rPr>
          <w:rFonts w:ascii="Times New Roman" w:hAnsi="Times New Roman"/>
          <w:sz w:val="28"/>
          <w:szCs w:val="28"/>
        </w:rPr>
        <w:t xml:space="preserve"> на</w:t>
      </w:r>
      <w:r w:rsidRPr="00D160D1">
        <w:rPr>
          <w:rFonts w:ascii="Times New Roman" w:hAnsi="Times New Roman"/>
          <w:sz w:val="28"/>
          <w:szCs w:val="28"/>
        </w:rPr>
        <w:t xml:space="preserve"> запазване на достигнатия нетен доход.</w:t>
      </w:r>
    </w:p>
    <w:p w14:paraId="11CAE9E2"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Промените в чл. 33, ал. 5, т. 11 от КСО прецизират действащи разпоредби, които регламентират функциите и правомощията на НОИ и </w:t>
      </w:r>
      <w:r>
        <w:rPr>
          <w:rFonts w:ascii="Times New Roman" w:hAnsi="Times New Roman"/>
          <w:sz w:val="28"/>
          <w:szCs w:val="28"/>
        </w:rPr>
        <w:t xml:space="preserve">на </w:t>
      </w:r>
      <w:r w:rsidRPr="00D160D1">
        <w:rPr>
          <w:rFonts w:ascii="Times New Roman" w:hAnsi="Times New Roman"/>
          <w:sz w:val="28"/>
          <w:szCs w:val="28"/>
        </w:rPr>
        <w:t>управителя на НОИ.</w:t>
      </w:r>
    </w:p>
    <w:p w14:paraId="307B362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Съгласно т. 2 на Решение № 615 от 03.09.2025 г. на Министерския съвет НОИ е определен като един от административните органи, които при изпълнение на своите функции възлагат изпълнението на тези дейности на „Информационно обслужване” АД. Поради това</w:t>
      </w:r>
      <w:r>
        <w:rPr>
          <w:rFonts w:ascii="Times New Roman" w:hAnsi="Times New Roman"/>
          <w:sz w:val="28"/>
          <w:szCs w:val="28"/>
        </w:rPr>
        <w:t xml:space="preserve"> в КСО</w:t>
      </w:r>
      <w:r w:rsidRPr="00D160D1">
        <w:rPr>
          <w:rFonts w:ascii="Times New Roman" w:hAnsi="Times New Roman"/>
          <w:sz w:val="28"/>
          <w:szCs w:val="28"/>
        </w:rPr>
        <w:t xml:space="preserve"> е предложено изменение в чл. 33, ал. 9 </w:t>
      </w:r>
      <w:r>
        <w:rPr>
          <w:rFonts w:ascii="Times New Roman" w:hAnsi="Times New Roman"/>
          <w:sz w:val="28"/>
          <w:szCs w:val="28"/>
        </w:rPr>
        <w:t>и отменяне на ал. 2 в</w:t>
      </w:r>
      <w:r w:rsidRPr="00D160D1">
        <w:rPr>
          <w:rFonts w:ascii="Times New Roman" w:hAnsi="Times New Roman"/>
          <w:sz w:val="28"/>
          <w:szCs w:val="28"/>
        </w:rPr>
        <w:t xml:space="preserve"> чл. 109, като за всички въпроси, свързани със създаването, обработването, съхраняването и предоставянето на достъп до информацията, представляваща служебна тайна, се прилага Законът за защита на класифицираната информация.</w:t>
      </w:r>
    </w:p>
    <w:p w14:paraId="01D85E38"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Разпоредбите на чл. 40, ал. 3, чл. 54ж, ал. 4 от КСО и чл. 27, ал. 1 от ЗГВРСНР (§ 8 от ПЗР на законопроекта) регламентират начин</w:t>
      </w:r>
      <w:r>
        <w:rPr>
          <w:rFonts w:ascii="Times New Roman" w:hAnsi="Times New Roman"/>
          <w:sz w:val="28"/>
          <w:szCs w:val="28"/>
        </w:rPr>
        <w:t>а</w:t>
      </w:r>
      <w:r w:rsidRPr="00D160D1">
        <w:rPr>
          <w:rFonts w:ascii="Times New Roman" w:hAnsi="Times New Roman"/>
          <w:sz w:val="28"/>
          <w:szCs w:val="28"/>
        </w:rPr>
        <w:t xml:space="preserve"> на изплащане на паричните обезщетения и гарантираните вземания на работниците и служителите, а именно: по декларирана от лицата лична платежна сметка, обозначена с Международен номер на банкова сметка (International </w:t>
      </w:r>
      <w:proofErr w:type="spellStart"/>
      <w:r w:rsidRPr="00D160D1">
        <w:rPr>
          <w:rFonts w:ascii="Times New Roman" w:hAnsi="Times New Roman"/>
          <w:sz w:val="28"/>
          <w:szCs w:val="28"/>
        </w:rPr>
        <w:t>Bank</w:t>
      </w:r>
      <w:proofErr w:type="spellEnd"/>
      <w:r w:rsidRPr="00D160D1">
        <w:rPr>
          <w:rFonts w:ascii="Times New Roman" w:hAnsi="Times New Roman"/>
          <w:sz w:val="28"/>
          <w:szCs w:val="28"/>
        </w:rPr>
        <w:t xml:space="preserve"> </w:t>
      </w:r>
      <w:proofErr w:type="spellStart"/>
      <w:r w:rsidRPr="00D160D1">
        <w:rPr>
          <w:rFonts w:ascii="Times New Roman" w:hAnsi="Times New Roman"/>
          <w:sz w:val="28"/>
          <w:szCs w:val="28"/>
        </w:rPr>
        <w:t>Account</w:t>
      </w:r>
      <w:proofErr w:type="spellEnd"/>
      <w:r w:rsidRPr="00D160D1">
        <w:rPr>
          <w:rFonts w:ascii="Times New Roman" w:hAnsi="Times New Roman"/>
          <w:sz w:val="28"/>
          <w:szCs w:val="28"/>
        </w:rPr>
        <w:t xml:space="preserve"> </w:t>
      </w:r>
      <w:proofErr w:type="spellStart"/>
      <w:r w:rsidRPr="00D160D1">
        <w:rPr>
          <w:rFonts w:ascii="Times New Roman" w:hAnsi="Times New Roman"/>
          <w:sz w:val="28"/>
          <w:szCs w:val="28"/>
        </w:rPr>
        <w:t>Number</w:t>
      </w:r>
      <w:proofErr w:type="spellEnd"/>
      <w:r w:rsidRPr="00D160D1">
        <w:rPr>
          <w:rFonts w:ascii="Times New Roman" w:hAnsi="Times New Roman"/>
          <w:sz w:val="28"/>
          <w:szCs w:val="28"/>
        </w:rPr>
        <w:t xml:space="preserve"> - IBAN), водена от доставчик на платежни услуги, лицензиран от Българската народна банка, или от клон на доставчик на платежни услуги, осъществяващ дейност на територията на страната. Съгласно Регламент № 260/2012 на Европейския парламент и на Съвета от 14 март 2012 година за определяне на технически и бизнес изисквания за кредитни преводи и директни дебити в евро и за изменение на Регламент (ЕО) № 924/2009, доставчикът на платежни услуги може да е установен в която и да е от държавите</w:t>
      </w:r>
      <w:r>
        <w:rPr>
          <w:rFonts w:ascii="Times New Roman" w:hAnsi="Times New Roman"/>
          <w:sz w:val="28"/>
          <w:szCs w:val="28"/>
        </w:rPr>
        <w:t xml:space="preserve"> </w:t>
      </w:r>
      <w:r w:rsidRPr="00D160D1">
        <w:rPr>
          <w:rFonts w:ascii="Times New Roman" w:hAnsi="Times New Roman"/>
          <w:sz w:val="28"/>
          <w:szCs w:val="28"/>
        </w:rPr>
        <w:t>членки. Поради това, доколкото разпоредбата на чл. 9 във връзка с чл. 1, параграф 1 от Регламент (ЕС) 260/2012 не допуска дискриминация по отношение на номера на платежната сметка при извършване на кредитни преводи в евро към получатели, притежаващи платежни сметки при доставчици на платежни услуги в Европейското икономическо пространство, се предлага премахване на ограничението личната платежна сметка да бъде водена единствено от доставчик на платежни услуги, лицензиран от БНБ</w:t>
      </w:r>
      <w:r>
        <w:rPr>
          <w:rFonts w:ascii="Times New Roman" w:hAnsi="Times New Roman"/>
          <w:sz w:val="28"/>
          <w:szCs w:val="28"/>
        </w:rPr>
        <w:t>,</w:t>
      </w:r>
      <w:r w:rsidRPr="00D160D1">
        <w:rPr>
          <w:rFonts w:ascii="Times New Roman" w:hAnsi="Times New Roman"/>
          <w:sz w:val="28"/>
          <w:szCs w:val="28"/>
        </w:rPr>
        <w:t xml:space="preserve"> или от клон на доставчик на платежни услуги, осъществяващ дейност на територията на страната. </w:t>
      </w:r>
    </w:p>
    <w:p w14:paraId="64A32FBB"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Промените в чл. 114а, чл. 116, чл. 119, чл. 349, чл. 349а, § 1</w:t>
      </w:r>
      <w:r>
        <w:rPr>
          <w:rFonts w:ascii="Times New Roman" w:hAnsi="Times New Roman"/>
          <w:sz w:val="28"/>
          <w:szCs w:val="28"/>
        </w:rPr>
        <w:t xml:space="preserve"> и</w:t>
      </w:r>
      <w:r w:rsidRPr="00D160D1">
        <w:rPr>
          <w:rFonts w:ascii="Times New Roman" w:hAnsi="Times New Roman"/>
          <w:sz w:val="28"/>
          <w:szCs w:val="28"/>
        </w:rPr>
        <w:t xml:space="preserve"> </w:t>
      </w:r>
      <w:r>
        <w:rPr>
          <w:rFonts w:ascii="Times New Roman" w:hAnsi="Times New Roman"/>
          <w:sz w:val="28"/>
          <w:szCs w:val="28"/>
        </w:rPr>
        <w:br/>
      </w:r>
      <w:r w:rsidRPr="00D160D1">
        <w:rPr>
          <w:rFonts w:ascii="Times New Roman" w:hAnsi="Times New Roman"/>
          <w:sz w:val="28"/>
          <w:szCs w:val="28"/>
        </w:rPr>
        <w:t xml:space="preserve">ал. 1, т. 8 от ДР на КСО и чл. 31 от ЗГВРСНР произтичат от приемането на еврото като законно платежно средство в Република България, във връзка с което сумите в лева са </w:t>
      </w:r>
      <w:proofErr w:type="spellStart"/>
      <w:r w:rsidRPr="00D160D1">
        <w:rPr>
          <w:rFonts w:ascii="Times New Roman" w:hAnsi="Times New Roman"/>
          <w:sz w:val="28"/>
          <w:szCs w:val="28"/>
        </w:rPr>
        <w:t>превалутирани</w:t>
      </w:r>
      <w:proofErr w:type="spellEnd"/>
      <w:r w:rsidRPr="00D160D1">
        <w:rPr>
          <w:rFonts w:ascii="Times New Roman" w:hAnsi="Times New Roman"/>
          <w:sz w:val="28"/>
          <w:szCs w:val="28"/>
        </w:rPr>
        <w:t xml:space="preserve"> в евро.</w:t>
      </w:r>
    </w:p>
    <w:p w14:paraId="636B0B46"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С </w:t>
      </w:r>
      <w:r w:rsidRPr="00BE1EE7">
        <w:rPr>
          <w:rFonts w:ascii="Times New Roman" w:hAnsi="Times New Roman"/>
          <w:sz w:val="28"/>
          <w:szCs w:val="28"/>
        </w:rPr>
        <w:t>§</w:t>
      </w:r>
      <w:r w:rsidRPr="00D160D1">
        <w:rPr>
          <w:rFonts w:ascii="Times New Roman" w:hAnsi="Times New Roman"/>
          <w:sz w:val="28"/>
          <w:szCs w:val="28"/>
        </w:rPr>
        <w:t xml:space="preserve"> 7 от ПЗР на законопроекта се предлагат промени в Закона за здравето (ЗЗ). Те са предложени както с оглед </w:t>
      </w:r>
      <w:r>
        <w:rPr>
          <w:rFonts w:ascii="Times New Roman" w:hAnsi="Times New Roman"/>
          <w:sz w:val="28"/>
          <w:szCs w:val="28"/>
        </w:rPr>
        <w:t xml:space="preserve">на </w:t>
      </w:r>
      <w:r w:rsidRPr="00D160D1">
        <w:rPr>
          <w:rFonts w:ascii="Times New Roman" w:hAnsi="Times New Roman"/>
          <w:sz w:val="28"/>
          <w:szCs w:val="28"/>
        </w:rPr>
        <w:t xml:space="preserve">правилното определяне </w:t>
      </w:r>
      <w:r>
        <w:rPr>
          <w:rFonts w:ascii="Times New Roman" w:hAnsi="Times New Roman"/>
          <w:sz w:val="28"/>
          <w:szCs w:val="28"/>
        </w:rPr>
        <w:t xml:space="preserve">на </w:t>
      </w:r>
      <w:r w:rsidRPr="00D160D1">
        <w:rPr>
          <w:rFonts w:ascii="Times New Roman" w:hAnsi="Times New Roman"/>
          <w:sz w:val="28"/>
          <w:szCs w:val="28"/>
        </w:rPr>
        <w:t>правото и размера на паричните обезщетения и пенсиите, така и за осигуряване на възможност за осъществяването на стриктен контрол върху обществените средства във фондовете на държавното обществено осигуряване. Освен това в съвременното общество, което все повече се дигитализира, осигуряването на свързаност между системи и регистри, което води до ускоряване на административните производства и до намаляване на хартиения документооборот, е от съществено значение.</w:t>
      </w:r>
    </w:p>
    <w:p w14:paraId="1C9C745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w:t>
      </w:r>
      <w:r>
        <w:rPr>
          <w:rFonts w:ascii="Times New Roman" w:hAnsi="Times New Roman"/>
          <w:sz w:val="28"/>
          <w:szCs w:val="28"/>
        </w:rPr>
        <w:t>ъв</w:t>
      </w:r>
      <w:r w:rsidRPr="00D160D1">
        <w:rPr>
          <w:rFonts w:ascii="Times New Roman" w:hAnsi="Times New Roman"/>
          <w:sz w:val="28"/>
          <w:szCs w:val="28"/>
        </w:rPr>
        <w:t xml:space="preserve"> връзка </w:t>
      </w:r>
      <w:r>
        <w:rPr>
          <w:rFonts w:ascii="Times New Roman" w:hAnsi="Times New Roman"/>
          <w:sz w:val="28"/>
          <w:szCs w:val="28"/>
        </w:rPr>
        <w:t xml:space="preserve">с това </w:t>
      </w:r>
      <w:r w:rsidRPr="00D160D1">
        <w:rPr>
          <w:rFonts w:ascii="Times New Roman" w:hAnsi="Times New Roman"/>
          <w:sz w:val="28"/>
          <w:szCs w:val="28"/>
        </w:rPr>
        <w:t xml:space="preserve">с разпоредбата на чл. 28д, ал. 1 от ЗЗ е регламентирано кои институции имат право на достъп до Националната здравноинформационна система (НЗИС) - системата, в която се съдържа първичната медицинска документация, служеща като основание за определяне на процента трайно намалена работоспособност/вид и степен на увреждане, датата на </w:t>
      </w:r>
      <w:proofErr w:type="spellStart"/>
      <w:r w:rsidRPr="00D160D1">
        <w:rPr>
          <w:rFonts w:ascii="Times New Roman" w:hAnsi="Times New Roman"/>
          <w:sz w:val="28"/>
          <w:szCs w:val="28"/>
        </w:rPr>
        <w:t>инвалидизиране</w:t>
      </w:r>
      <w:proofErr w:type="spellEnd"/>
      <w:r w:rsidRPr="00D160D1">
        <w:rPr>
          <w:rFonts w:ascii="Times New Roman" w:hAnsi="Times New Roman"/>
          <w:sz w:val="28"/>
          <w:szCs w:val="28"/>
        </w:rPr>
        <w:t xml:space="preserve"> и срока на инвалидността в експертните решения на ТЕЛК/НЕЛК. Експертното решение на ТЕЛК/НЕЛК, в което е удостоверена трайно намалена работоспособност/вид и степен на увреждане над 50 на сто</w:t>
      </w:r>
      <w:r>
        <w:rPr>
          <w:rFonts w:ascii="Times New Roman" w:hAnsi="Times New Roman"/>
          <w:sz w:val="28"/>
          <w:szCs w:val="28"/>
        </w:rPr>
        <w:t>,</w:t>
      </w:r>
      <w:r w:rsidRPr="00D160D1">
        <w:rPr>
          <w:rFonts w:ascii="Times New Roman" w:hAnsi="Times New Roman"/>
          <w:sz w:val="28"/>
          <w:szCs w:val="28"/>
        </w:rPr>
        <w:t xml:space="preserve"> е документът, който служи като основание за отпускане на пенсии за инвалидност. С оглед </w:t>
      </w:r>
      <w:r>
        <w:rPr>
          <w:rFonts w:ascii="Times New Roman" w:hAnsi="Times New Roman"/>
          <w:sz w:val="28"/>
          <w:szCs w:val="28"/>
        </w:rPr>
        <w:t xml:space="preserve">на </w:t>
      </w:r>
      <w:r w:rsidRPr="00D160D1">
        <w:rPr>
          <w:rFonts w:ascii="Times New Roman" w:hAnsi="Times New Roman"/>
          <w:sz w:val="28"/>
          <w:szCs w:val="28"/>
        </w:rPr>
        <w:t>упражняване на контрол за законосъобразност върху решенията на ТЕЛК/НЕЛК в чл. 98 от КСО е дадена възможност на председателя на медицинската комисия към съответното териториално поделение на НОИ да обжалва експертното решение, когато е налице съмнение за неговата законосъобразност. За да бъде обоснована преценката дали експертното решение съответства на законовите изисквания</w:t>
      </w:r>
      <w:r>
        <w:rPr>
          <w:rFonts w:ascii="Times New Roman" w:hAnsi="Times New Roman"/>
          <w:sz w:val="28"/>
          <w:szCs w:val="28"/>
        </w:rPr>
        <w:t>,</w:t>
      </w:r>
      <w:r w:rsidRPr="00D160D1">
        <w:rPr>
          <w:rFonts w:ascii="Times New Roman" w:hAnsi="Times New Roman"/>
          <w:sz w:val="28"/>
          <w:szCs w:val="28"/>
        </w:rPr>
        <w:t xml:space="preserve"> е необходимо да бъде извършен преглед на първичната медицинска документация, която се съдържа в НЗИС. Поради това се предлага да бъде </w:t>
      </w:r>
      <w:r w:rsidRPr="00D160D1">
        <w:rPr>
          <w:rFonts w:ascii="Times New Roman" w:hAnsi="Times New Roman"/>
          <w:sz w:val="28"/>
          <w:szCs w:val="28"/>
        </w:rPr>
        <w:lastRenderedPageBreak/>
        <w:t>регламентиран достъп до системата на медицинските комисии към териториалните поделения на НОИ. По този начин ще се осигури по-голяма бързина на административните производства и ще се изпълнят основните принципи, залегнали в Закона за електронното управление.</w:t>
      </w:r>
    </w:p>
    <w:p w14:paraId="392712E1"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Предлага се и промяна в ЗЗ, свързана с установени случаи, при които след постановяване на експертното решение на ТЕЛК/НЕЛК, както и след изтичане на срока за неговото обжалване в хода на наказателно производство се открият факти и обстоятелства, които са от значение за формиране на преценката за процента трайно намалена работоспособност/вид и степен на увреждане, срока на инвалидността и датата на </w:t>
      </w:r>
      <w:proofErr w:type="spellStart"/>
      <w:r w:rsidRPr="00D160D1">
        <w:rPr>
          <w:rFonts w:ascii="Times New Roman" w:hAnsi="Times New Roman"/>
          <w:sz w:val="28"/>
          <w:szCs w:val="28"/>
        </w:rPr>
        <w:t>инвалидизиране</w:t>
      </w:r>
      <w:proofErr w:type="spellEnd"/>
      <w:r w:rsidRPr="00D160D1">
        <w:rPr>
          <w:rFonts w:ascii="Times New Roman" w:hAnsi="Times New Roman"/>
          <w:sz w:val="28"/>
          <w:szCs w:val="28"/>
        </w:rPr>
        <w:t xml:space="preserve"> и съответно - за правото и размера на пенсията. При настоящата нормативна уредба не съществува правен механизъм за преразглеждане на експертните решения извън хипотезите по чл. 99 от Административнопроцесуалния кодекс, който също е с ограничено приложение. Поради това се предлага създаването на чл. 113а в ЗЗ, който регламентира възможност в ограничени случаи ТЕЛК по искане на НОИ да може да се произнесе отново относно освидетелстването на лице с оглед </w:t>
      </w:r>
      <w:r>
        <w:rPr>
          <w:rFonts w:ascii="Times New Roman" w:hAnsi="Times New Roman"/>
          <w:sz w:val="28"/>
          <w:szCs w:val="28"/>
        </w:rPr>
        <w:t xml:space="preserve">на </w:t>
      </w:r>
      <w:r w:rsidRPr="00D160D1">
        <w:rPr>
          <w:rFonts w:ascii="Times New Roman" w:hAnsi="Times New Roman"/>
          <w:sz w:val="28"/>
          <w:szCs w:val="28"/>
        </w:rPr>
        <w:t>новооткрити факти и обстоятелства, след представяне на актуална медицинска документация и извършване на преглед.</w:t>
      </w:r>
    </w:p>
    <w:p w14:paraId="2B0C1835"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Проектът на ЗБДОО за 2026 г. има за цел да осигури финансовата основа и да гарантира своевременното отпускане и изплащане на пенсиите, обезщетенията и помощите от държавното обществено осигуряване и по-доброто изпълнение на основните функции на Националния осигурителен институт.</w:t>
      </w:r>
    </w:p>
    <w:p w14:paraId="0A097443"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Очакваните резултати от прилагането на проекта на ЗБДОО за 2026 г. са свързани с подобряване на финансовата стабилност на държавното </w:t>
      </w:r>
      <w:r w:rsidRPr="00D160D1">
        <w:rPr>
          <w:rFonts w:ascii="Times New Roman" w:hAnsi="Times New Roman"/>
          <w:sz w:val="28"/>
          <w:szCs w:val="28"/>
        </w:rPr>
        <w:lastRenderedPageBreak/>
        <w:t>обществено осигуряване и повишаване на доходите от социалноосигурителни плащания.</w:t>
      </w:r>
    </w:p>
    <w:p w14:paraId="27BDDB00"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За приемането на проекта на нормативен акт не са необходими допълнителни разходи/трансфери/други плащания. Предложеният проект на акт не води до въздействие върху държавния бюджет. Към проекта на акт е изготвена финансова обосновка съгласно образеца по приложение </w:t>
      </w:r>
      <w:r>
        <w:rPr>
          <w:rFonts w:ascii="Times New Roman" w:hAnsi="Times New Roman"/>
          <w:sz w:val="28"/>
          <w:szCs w:val="28"/>
        </w:rPr>
        <w:br/>
      </w:r>
      <w:r w:rsidRPr="00D160D1">
        <w:rPr>
          <w:rFonts w:ascii="Times New Roman" w:hAnsi="Times New Roman"/>
          <w:sz w:val="28"/>
          <w:szCs w:val="28"/>
        </w:rPr>
        <w:t>№ 2.2 към чл. 35, ал. 1, т. 4, буква „б“ от УПМСНА.</w:t>
      </w:r>
    </w:p>
    <w:p w14:paraId="39874C5E"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Съгласно § 1а, т. 1 от ДР на Закона за нормативните актове, глави втора и трета от същия закон, с изключение на изискването за мотиви по чл. 28, ал. 1, не се прилагат за законопроектите за държавния бюджет, за бюджета на държавното обществено осигуряване и за бюджета на Националната здравноосигурителна каса, както и за проекти на подзаконови нормативни актове, свързани с изпълнението на държавния бюджет. В тази връзка не е необходимо да бъде извършена оценка на въздействието, да се провеждат обществени консултации и да бъде изготвена справка за съответствието с Конвенцията за защита на правата на човека и основните свободи и с практиката на Европейския съд по правата на човека на проекта на ЗБДОО за 2026 г.</w:t>
      </w:r>
    </w:p>
    <w:p w14:paraId="168982ED" w14:textId="77777777" w:rsidR="00333469" w:rsidRPr="00D160D1" w:rsidRDefault="00333469" w:rsidP="00333469">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Приемането на предложения законопроект не налага да бъде изготвена справка за съответствие с европейското право, тъй като с материята, която регламентира актът, не се хармонизират актове на Европейския съюз.</w:t>
      </w:r>
    </w:p>
    <w:p w14:paraId="34706A3B" w14:textId="77777777" w:rsidR="00333469" w:rsidRPr="00683CAC" w:rsidRDefault="00333469" w:rsidP="00333469">
      <w:pPr>
        <w:pStyle w:val="1"/>
        <w:tabs>
          <w:tab w:val="left" w:pos="709"/>
          <w:tab w:val="left" w:pos="851"/>
        </w:tabs>
        <w:spacing w:before="120" w:after="0" w:line="288" w:lineRule="auto"/>
        <w:ind w:left="0" w:firstLine="1134"/>
        <w:jc w:val="both"/>
        <w:rPr>
          <w:rFonts w:ascii="Times New Roman" w:hAnsi="Times New Roman"/>
          <w:b/>
          <w:sz w:val="26"/>
          <w:szCs w:val="26"/>
        </w:rPr>
      </w:pPr>
      <w:r>
        <w:rPr>
          <w:rFonts w:ascii="Times New Roman" w:hAnsi="Times New Roman"/>
          <w:b/>
          <w:sz w:val="26"/>
          <w:szCs w:val="26"/>
        </w:rPr>
        <w:t>РУМЕН РАДЕВ</w:t>
      </w:r>
    </w:p>
    <w:p w14:paraId="57A832BF" w14:textId="77777777" w:rsidR="00333469" w:rsidRPr="00683CAC" w:rsidRDefault="00333469" w:rsidP="00333469">
      <w:pPr>
        <w:tabs>
          <w:tab w:val="left" w:pos="1790"/>
        </w:tabs>
        <w:ind w:left="1134"/>
        <w:rPr>
          <w:rFonts w:ascii="Times New Roman" w:hAnsi="Times New Roman"/>
          <w:b/>
          <w:sz w:val="26"/>
          <w:szCs w:val="26"/>
        </w:rPr>
      </w:pPr>
      <w:bookmarkStart w:id="0" w:name="_Hlk92799938"/>
      <w:r w:rsidRPr="00683CAC">
        <w:rPr>
          <w:rFonts w:ascii="Times New Roman" w:hAnsi="Times New Roman"/>
          <w:b/>
          <w:sz w:val="26"/>
          <w:szCs w:val="26"/>
        </w:rPr>
        <w:t>МИНИСТЪР-ПРЕДСЕДАТЕЛ:</w:t>
      </w:r>
    </w:p>
    <w:bookmarkEnd w:id="0"/>
    <w:p w14:paraId="0C5DAC78" w14:textId="77777777" w:rsidR="00F878C4" w:rsidRPr="00333469" w:rsidRDefault="00F878C4" w:rsidP="00333469"/>
    <w:sectPr w:rsidR="00F878C4" w:rsidRPr="00333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barU">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2250C"/>
    <w:multiLevelType w:val="hybridMultilevel"/>
    <w:tmpl w:val="FFFFFFFF"/>
    <w:lvl w:ilvl="0" w:tplc="DD62B1E6">
      <w:start w:val="4"/>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Times New Roman"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cs="Times New Roman"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cs="Times New Roman" w:hint="default"/>
      </w:rPr>
    </w:lvl>
    <w:lvl w:ilvl="8" w:tplc="04020005">
      <w:start w:val="1"/>
      <w:numFmt w:val="bullet"/>
      <w:lvlText w:val=""/>
      <w:lvlJc w:val="left"/>
      <w:pPr>
        <w:ind w:left="6687" w:hanging="360"/>
      </w:pPr>
      <w:rPr>
        <w:rFonts w:ascii="Wingdings" w:hAnsi="Wingdings" w:hint="default"/>
      </w:rPr>
    </w:lvl>
  </w:abstractNum>
  <w:abstractNum w:abstractNumId="1" w15:restartNumberingAfterBreak="0">
    <w:nsid w:val="6B57325A"/>
    <w:multiLevelType w:val="multilevel"/>
    <w:tmpl w:val="FFFFFFFF"/>
    <w:lvl w:ilvl="0">
      <w:start w:val="1"/>
      <w:numFmt w:val="decimal"/>
      <w:lvlText w:val="%1."/>
      <w:lvlJc w:val="left"/>
      <w:pPr>
        <w:ind w:left="600" w:hanging="600"/>
      </w:pPr>
      <w:rPr>
        <w:rFonts w:eastAsia="Times New Roman" w:cs="Times New Roman"/>
        <w:b/>
      </w:rPr>
    </w:lvl>
    <w:lvl w:ilvl="1">
      <w:start w:val="1"/>
      <w:numFmt w:val="decimal"/>
      <w:lvlText w:val="%1.%2."/>
      <w:lvlJc w:val="left"/>
      <w:pPr>
        <w:ind w:left="883" w:hanging="600"/>
      </w:pPr>
      <w:rPr>
        <w:rFonts w:eastAsia="Times New Roman" w:cs="Times New Roman"/>
        <w:b/>
      </w:rPr>
    </w:lvl>
    <w:lvl w:ilvl="2">
      <w:start w:val="1"/>
      <w:numFmt w:val="decimal"/>
      <w:lvlText w:val="%1.%2.%3."/>
      <w:lvlJc w:val="left"/>
      <w:pPr>
        <w:ind w:left="1286" w:hanging="720"/>
      </w:pPr>
      <w:rPr>
        <w:rFonts w:eastAsia="Times New Roman" w:cs="Times New Roman"/>
        <w:b/>
      </w:rPr>
    </w:lvl>
    <w:lvl w:ilvl="3">
      <w:start w:val="1"/>
      <w:numFmt w:val="decimal"/>
      <w:lvlText w:val="%1.%2.%3.%4."/>
      <w:lvlJc w:val="left"/>
      <w:pPr>
        <w:ind w:left="1569" w:hanging="720"/>
      </w:pPr>
      <w:rPr>
        <w:rFonts w:eastAsia="Times New Roman" w:cs="Times New Roman"/>
        <w:b/>
      </w:rPr>
    </w:lvl>
    <w:lvl w:ilvl="4">
      <w:start w:val="1"/>
      <w:numFmt w:val="decimal"/>
      <w:lvlText w:val="%1.%2.%3.%4.%5."/>
      <w:lvlJc w:val="left"/>
      <w:pPr>
        <w:ind w:left="2212" w:hanging="1080"/>
      </w:pPr>
      <w:rPr>
        <w:rFonts w:eastAsia="Times New Roman" w:cs="Times New Roman"/>
        <w:b/>
      </w:rPr>
    </w:lvl>
    <w:lvl w:ilvl="5">
      <w:start w:val="1"/>
      <w:numFmt w:val="decimal"/>
      <w:lvlText w:val="%1.%2.%3.%4.%5.%6."/>
      <w:lvlJc w:val="left"/>
      <w:pPr>
        <w:ind w:left="2495" w:hanging="1080"/>
      </w:pPr>
      <w:rPr>
        <w:rFonts w:eastAsia="Times New Roman" w:cs="Times New Roman"/>
        <w:b/>
      </w:rPr>
    </w:lvl>
    <w:lvl w:ilvl="6">
      <w:start w:val="1"/>
      <w:numFmt w:val="decimal"/>
      <w:lvlText w:val="%1.%2.%3.%4.%5.%6.%7."/>
      <w:lvlJc w:val="left"/>
      <w:pPr>
        <w:ind w:left="3138" w:hanging="1440"/>
      </w:pPr>
      <w:rPr>
        <w:rFonts w:eastAsia="Times New Roman" w:cs="Times New Roman"/>
        <w:b/>
      </w:rPr>
    </w:lvl>
    <w:lvl w:ilvl="7">
      <w:start w:val="1"/>
      <w:numFmt w:val="decimal"/>
      <w:lvlText w:val="%1.%2.%3.%4.%5.%6.%7.%8."/>
      <w:lvlJc w:val="left"/>
      <w:pPr>
        <w:ind w:left="3421" w:hanging="1440"/>
      </w:pPr>
      <w:rPr>
        <w:rFonts w:eastAsia="Times New Roman" w:cs="Times New Roman"/>
        <w:b/>
      </w:rPr>
    </w:lvl>
    <w:lvl w:ilvl="8">
      <w:start w:val="1"/>
      <w:numFmt w:val="decimal"/>
      <w:lvlText w:val="%1.%2.%3.%4.%5.%6.%7.%8.%9."/>
      <w:lvlJc w:val="left"/>
      <w:pPr>
        <w:ind w:left="4064" w:hanging="1800"/>
      </w:pPr>
      <w:rPr>
        <w:rFonts w:eastAsia="Times New Roman" w:cs="Times New Roman"/>
        <w:b/>
      </w:rPr>
    </w:lvl>
  </w:abstractNum>
  <w:num w:numId="1" w16cid:durableId="1376156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353958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69"/>
    <w:rsid w:val="00333469"/>
    <w:rsid w:val="003E5BE7"/>
    <w:rsid w:val="00AF7599"/>
    <w:rsid w:val="00D811EC"/>
    <w:rsid w:val="00DC0E8A"/>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4520"/>
  <w15:chartTrackingRefBased/>
  <w15:docId w15:val="{0550F842-E5D2-46A8-9540-A737242D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469"/>
    <w:pPr>
      <w:spacing w:after="0" w:line="240" w:lineRule="auto"/>
    </w:pPr>
    <w:rPr>
      <w:rFonts w:ascii="HebarU" w:eastAsia="Times New Roman" w:hAnsi="HebarU" w:cs="Times New Roman"/>
      <w:sz w:val="24"/>
      <w:szCs w:val="20"/>
      <w:lang w:val="bg-BG"/>
    </w:rPr>
  </w:style>
  <w:style w:type="paragraph" w:styleId="Heading1">
    <w:name w:val="heading 1"/>
    <w:basedOn w:val="Normal"/>
    <w:next w:val="Normal"/>
    <w:link w:val="Heading1Char"/>
    <w:uiPriority w:val="9"/>
    <w:qFormat/>
    <w:rsid w:val="00D811E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link w:val="Heading2Char"/>
    <w:uiPriority w:val="9"/>
    <w:qFormat/>
    <w:rsid w:val="00D811EC"/>
    <w:pPr>
      <w:spacing w:before="100" w:beforeAutospacing="1" w:after="100" w:afterAutospacing="1"/>
      <w:outlineLvl w:val="1"/>
    </w:pPr>
    <w:rPr>
      <w:rFonts w:ascii="Times New Roman" w:hAnsi="Times New Roman"/>
      <w:b/>
      <w:bCs/>
      <w:sz w:val="36"/>
      <w:szCs w:val="36"/>
      <w:lang w:val="en-US"/>
    </w:rPr>
  </w:style>
  <w:style w:type="paragraph" w:styleId="Heading3">
    <w:name w:val="heading 3"/>
    <w:basedOn w:val="Normal"/>
    <w:link w:val="Heading3Char"/>
    <w:uiPriority w:val="9"/>
    <w:qFormat/>
    <w:rsid w:val="00D811EC"/>
    <w:pPr>
      <w:spacing w:before="100" w:beforeAutospacing="1" w:after="100" w:afterAutospacing="1"/>
      <w:outlineLvl w:val="2"/>
    </w:pPr>
    <w:rPr>
      <w:rFonts w:ascii="Times New Roman" w:hAnsi="Times New Roman"/>
      <w:b/>
      <w:bCs/>
      <w:sz w:val="27"/>
      <w:szCs w:val="27"/>
      <w:lang w:val="en-US"/>
    </w:rPr>
  </w:style>
  <w:style w:type="paragraph" w:styleId="Heading4">
    <w:name w:val="heading 4"/>
    <w:basedOn w:val="Normal"/>
    <w:next w:val="Normal"/>
    <w:link w:val="Heading4Char"/>
    <w:uiPriority w:val="9"/>
    <w:semiHidden/>
    <w:unhideWhenUsed/>
    <w:qFormat/>
    <w:rsid w:val="00333469"/>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n-US"/>
    </w:rPr>
  </w:style>
  <w:style w:type="paragraph" w:styleId="Heading5">
    <w:name w:val="heading 5"/>
    <w:basedOn w:val="Normal"/>
    <w:next w:val="Normal"/>
    <w:link w:val="Heading5Char"/>
    <w:uiPriority w:val="9"/>
    <w:semiHidden/>
    <w:unhideWhenUsed/>
    <w:qFormat/>
    <w:rsid w:val="00333469"/>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n-US"/>
    </w:rPr>
  </w:style>
  <w:style w:type="paragraph" w:styleId="Heading6">
    <w:name w:val="heading 6"/>
    <w:basedOn w:val="Normal"/>
    <w:next w:val="Normal"/>
    <w:link w:val="Heading6Char"/>
    <w:uiPriority w:val="9"/>
    <w:semiHidden/>
    <w:unhideWhenUsed/>
    <w:qFormat/>
    <w:rsid w:val="0033346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333469"/>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333469"/>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333469"/>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Heading4Char">
    <w:name w:val="Heading 4 Char"/>
    <w:basedOn w:val="DefaultParagraphFont"/>
    <w:link w:val="Heading4"/>
    <w:uiPriority w:val="9"/>
    <w:semiHidden/>
    <w:rsid w:val="003334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34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3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469"/>
    <w:rPr>
      <w:rFonts w:eastAsiaTheme="majorEastAsia" w:cstheme="majorBidi"/>
      <w:color w:val="272727" w:themeColor="text1" w:themeTint="D8"/>
    </w:rPr>
  </w:style>
  <w:style w:type="paragraph" w:styleId="Title">
    <w:name w:val="Title"/>
    <w:basedOn w:val="Normal"/>
    <w:next w:val="Normal"/>
    <w:link w:val="TitleChar"/>
    <w:uiPriority w:val="10"/>
    <w:qFormat/>
    <w:rsid w:val="00333469"/>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333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469"/>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333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469"/>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333469"/>
    <w:rPr>
      <w:i/>
      <w:iCs/>
      <w:color w:val="404040" w:themeColor="text1" w:themeTint="BF"/>
    </w:rPr>
  </w:style>
  <w:style w:type="character" w:styleId="IntenseEmphasis">
    <w:name w:val="Intense Emphasis"/>
    <w:basedOn w:val="DefaultParagraphFont"/>
    <w:uiPriority w:val="21"/>
    <w:qFormat/>
    <w:rsid w:val="00333469"/>
    <w:rPr>
      <w:i/>
      <w:iCs/>
      <w:color w:val="2F5496" w:themeColor="accent1" w:themeShade="BF"/>
    </w:rPr>
  </w:style>
  <w:style w:type="paragraph" w:styleId="IntenseQuote">
    <w:name w:val="Intense Quote"/>
    <w:basedOn w:val="Normal"/>
    <w:next w:val="Normal"/>
    <w:link w:val="IntenseQuoteChar"/>
    <w:uiPriority w:val="30"/>
    <w:qFormat/>
    <w:rsid w:val="0033346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n-US"/>
    </w:rPr>
  </w:style>
  <w:style w:type="character" w:customStyle="1" w:styleId="IntenseQuoteChar">
    <w:name w:val="Intense Quote Char"/>
    <w:basedOn w:val="DefaultParagraphFont"/>
    <w:link w:val="IntenseQuote"/>
    <w:uiPriority w:val="30"/>
    <w:rsid w:val="00333469"/>
    <w:rPr>
      <w:i/>
      <w:iCs/>
      <w:color w:val="2F5496" w:themeColor="accent1" w:themeShade="BF"/>
    </w:rPr>
  </w:style>
  <w:style w:type="character" w:styleId="IntenseReference">
    <w:name w:val="Intense Reference"/>
    <w:basedOn w:val="DefaultParagraphFont"/>
    <w:uiPriority w:val="32"/>
    <w:qFormat/>
    <w:rsid w:val="00333469"/>
    <w:rPr>
      <w:b/>
      <w:bCs/>
      <w:smallCaps/>
      <w:color w:val="2F5496" w:themeColor="accent1" w:themeShade="BF"/>
      <w:spacing w:val="5"/>
    </w:rPr>
  </w:style>
  <w:style w:type="character" w:styleId="Hyperlink">
    <w:name w:val="Hyperlink"/>
    <w:basedOn w:val="DefaultParagraphFont"/>
    <w:uiPriority w:val="99"/>
    <w:unhideWhenUsed/>
    <w:rsid w:val="00333469"/>
    <w:rPr>
      <w:color w:val="0563C1" w:themeColor="hyperlink"/>
      <w:u w:val="single"/>
    </w:rPr>
  </w:style>
  <w:style w:type="character" w:styleId="UnresolvedMention">
    <w:name w:val="Unresolved Mention"/>
    <w:basedOn w:val="DefaultParagraphFont"/>
    <w:uiPriority w:val="99"/>
    <w:semiHidden/>
    <w:unhideWhenUsed/>
    <w:rsid w:val="00333469"/>
    <w:rPr>
      <w:color w:val="605E5C"/>
      <w:shd w:val="clear" w:color="auto" w:fill="E1DFDD"/>
    </w:rPr>
  </w:style>
  <w:style w:type="paragraph" w:customStyle="1" w:styleId="1">
    <w:name w:val="Списък на абзаци1"/>
    <w:basedOn w:val="Normal"/>
    <w:rsid w:val="00333469"/>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4501</Words>
  <Characters>25662</Characters>
  <Application>Microsoft Office Word</Application>
  <DocSecurity>0</DocSecurity>
  <Lines>213</Lines>
  <Paragraphs>60</Paragraphs>
  <ScaleCrop>false</ScaleCrop>
  <Company/>
  <LinksUpToDate>false</LinksUpToDate>
  <CharactersWithSpaces>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1</cp:revision>
  <dcterms:created xsi:type="dcterms:W3CDTF">2026-07-28T06:23:00Z</dcterms:created>
  <dcterms:modified xsi:type="dcterms:W3CDTF">2026-07-28T06:24:00Z</dcterms:modified>
</cp:coreProperties>
</file>