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EFC45" w14:textId="77777777" w:rsidR="00454FC7" w:rsidRPr="005F0586" w:rsidRDefault="00454FC7" w:rsidP="00454FC7">
      <w:pPr>
        <w:rPr>
          <w:lang w:val="bg-BG"/>
        </w:rPr>
      </w:pPr>
      <w:r w:rsidRPr="005F0586">
        <w:rPr>
          <w:lang w:val="bg-BG"/>
        </w:rPr>
        <w:t>ЗАКОН ЗА ХАЗАРТА</w:t>
      </w:r>
    </w:p>
    <w:p w14:paraId="4DA0BCE8" w14:textId="77777777" w:rsidR="00454FC7" w:rsidRPr="005F0586" w:rsidRDefault="00454FC7" w:rsidP="00454FC7">
      <w:pPr>
        <w:rPr>
          <w:lang w:val="bg-BG"/>
        </w:rPr>
      </w:pPr>
      <w:r>
        <w:rPr>
          <w:lang w:val="bg-BG"/>
        </w:rPr>
        <w:t>………………………………….</w:t>
      </w:r>
    </w:p>
    <w:p w14:paraId="2A7BE1F4" w14:textId="77777777" w:rsidR="00454FC7" w:rsidRPr="006D5E72" w:rsidRDefault="00454FC7" w:rsidP="00454FC7">
      <w:pPr>
        <w:rPr>
          <w:lang w:val="bg-BG"/>
        </w:rPr>
      </w:pPr>
      <w:r w:rsidRPr="006D5E72">
        <w:rPr>
          <w:lang w:val="bg-BG"/>
        </w:rPr>
        <w:t xml:space="preserve">Държавна такса за извършване на дейност от </w:t>
      </w:r>
      <w:proofErr w:type="spellStart"/>
      <w:r w:rsidRPr="006D5E72">
        <w:rPr>
          <w:lang w:val="bg-BG"/>
        </w:rPr>
        <w:t>афилиейт</w:t>
      </w:r>
      <w:proofErr w:type="spellEnd"/>
      <w:r w:rsidRPr="006D5E72">
        <w:rPr>
          <w:lang w:val="bg-BG"/>
        </w:rPr>
        <w:t xml:space="preserve"> оператори</w:t>
      </w:r>
    </w:p>
    <w:p w14:paraId="6D982707" w14:textId="77777777" w:rsidR="00454FC7" w:rsidRPr="006D5E72" w:rsidRDefault="00454FC7" w:rsidP="00454FC7">
      <w:pPr>
        <w:rPr>
          <w:lang w:val="bg-BG"/>
        </w:rPr>
      </w:pPr>
      <w:r w:rsidRPr="005F0586">
        <w:rPr>
          <w:b/>
          <w:bCs/>
          <w:lang w:val="bg-BG"/>
        </w:rPr>
        <w:t>Чл. 30а. (Нов - ДВ, бр. 69 от 2026 г., в сила от 01.08.2026 г.)</w:t>
      </w:r>
      <w:r w:rsidRPr="006D5E72">
        <w:rPr>
          <w:lang w:val="bg-BG"/>
        </w:rPr>
        <w:t xml:space="preserve"> (1) За поддържане на лиценз за извършване на дейност по популяризиране на хазартни игри от </w:t>
      </w:r>
      <w:proofErr w:type="spellStart"/>
      <w:r w:rsidRPr="006D5E72">
        <w:rPr>
          <w:lang w:val="bg-BG"/>
        </w:rPr>
        <w:t>афилиейт</w:t>
      </w:r>
      <w:proofErr w:type="spellEnd"/>
      <w:r w:rsidRPr="006D5E72">
        <w:rPr>
          <w:lang w:val="bg-BG"/>
        </w:rPr>
        <w:t xml:space="preserve"> оператор се събира двукомпонентна държавна такса, състояща се от годишна такса в размер на 6 000 евро и променлива част в размер на 10 на сто върху стойността на комисионното възнаграждение, обвързано с резултати.</w:t>
      </w:r>
    </w:p>
    <w:p w14:paraId="011E2C23" w14:textId="77777777" w:rsidR="00454FC7" w:rsidRPr="006D5E72" w:rsidRDefault="00454FC7" w:rsidP="00454FC7">
      <w:pPr>
        <w:rPr>
          <w:lang w:val="bg-BG"/>
        </w:rPr>
      </w:pPr>
      <w:r w:rsidRPr="006D5E72">
        <w:rPr>
          <w:lang w:val="bg-BG"/>
        </w:rPr>
        <w:t xml:space="preserve">(2) Годишната такса по ал. 1 се внася ежегодно от </w:t>
      </w:r>
      <w:proofErr w:type="spellStart"/>
      <w:r w:rsidRPr="006D5E72">
        <w:rPr>
          <w:lang w:val="bg-BG"/>
        </w:rPr>
        <w:t>афилиейт</w:t>
      </w:r>
      <w:proofErr w:type="spellEnd"/>
      <w:r w:rsidRPr="006D5E72">
        <w:rPr>
          <w:lang w:val="bg-BG"/>
        </w:rPr>
        <w:t xml:space="preserve"> операторите в срок до 31 март на текущата година, а </w:t>
      </w:r>
      <w:proofErr w:type="spellStart"/>
      <w:r w:rsidRPr="006D5E72">
        <w:rPr>
          <w:lang w:val="bg-BG"/>
        </w:rPr>
        <w:t>афилиейт</w:t>
      </w:r>
      <w:proofErr w:type="spellEnd"/>
      <w:r w:rsidRPr="006D5E72">
        <w:rPr>
          <w:lang w:val="bg-BG"/>
        </w:rPr>
        <w:t xml:space="preserve"> операторите, на които е издаден лиценз след тази дата, внасят годишната вноска преди получаване на удостоверението за издадения лиценз.</w:t>
      </w:r>
    </w:p>
    <w:p w14:paraId="7D8FE01A" w14:textId="77777777" w:rsidR="00454FC7" w:rsidRPr="006D5E72" w:rsidRDefault="00454FC7" w:rsidP="00454FC7">
      <w:pPr>
        <w:rPr>
          <w:lang w:val="bg-BG"/>
        </w:rPr>
      </w:pPr>
      <w:r w:rsidRPr="006D5E72">
        <w:rPr>
          <w:lang w:val="bg-BG"/>
        </w:rPr>
        <w:t>(3) Променливата част на таксата по ал. 1 се удържа и внася от организаторите на хазартни игри, които начисляват комисионното възнаграждение, обвързано с резултати.</w:t>
      </w:r>
    </w:p>
    <w:p w14:paraId="139537CA" w14:textId="77777777" w:rsidR="00454FC7" w:rsidRPr="006D5E72" w:rsidRDefault="00454FC7" w:rsidP="00454FC7">
      <w:pPr>
        <w:rPr>
          <w:lang w:val="bg-BG"/>
        </w:rPr>
      </w:pPr>
      <w:r w:rsidRPr="006D5E72">
        <w:rPr>
          <w:lang w:val="bg-BG"/>
        </w:rPr>
        <w:t>(4) Лицата по ал. 3, задължени да удържат и внасят променливата част от таксата, подават по електронен път за всеки месец в Националната агенция за приходите до 15-о число на месеца, следващ месеца на начисляване на комисионното възнаграждение, обвързано с резултати, декларация по образец, утвърден със заповед на министъра на финансите, за основата за начисляване на таксата и дължимата такса.</w:t>
      </w:r>
    </w:p>
    <w:p w14:paraId="5E8A0670" w14:textId="77777777" w:rsidR="00454FC7" w:rsidRPr="006D5E72" w:rsidRDefault="00454FC7" w:rsidP="00454FC7">
      <w:pPr>
        <w:rPr>
          <w:lang w:val="bg-BG"/>
        </w:rPr>
      </w:pPr>
      <w:r w:rsidRPr="006D5E72">
        <w:rPr>
          <w:lang w:val="bg-BG"/>
        </w:rPr>
        <w:t>(5) След подаването на декларацията, но преди изтичане на срока по ал. 4, организаторът на хазартни игри има право да прави промени, свързани с данните по подадената декларация. Промените се извършват чрез подаване на нова декларация.</w:t>
      </w:r>
    </w:p>
    <w:p w14:paraId="7025F085" w14:textId="77777777" w:rsidR="00454FC7" w:rsidRPr="006D5E72" w:rsidRDefault="00454FC7" w:rsidP="00454FC7">
      <w:pPr>
        <w:rPr>
          <w:lang w:val="bg-BG"/>
        </w:rPr>
      </w:pPr>
      <w:r w:rsidRPr="006D5E72">
        <w:rPr>
          <w:lang w:val="bg-BG"/>
        </w:rPr>
        <w:t>(6) Лицата по ал. 3, задължени да удържат и внасят променливата част от таксата по ал. 1, внасят дължимата такса по банкова сметка на Националната агенция за приходите в срока за подаване на декларацията по ал. 4.</w:t>
      </w:r>
    </w:p>
    <w:p w14:paraId="7A89057D" w14:textId="77777777" w:rsidR="00454FC7" w:rsidRPr="006D5E72" w:rsidRDefault="00454FC7" w:rsidP="00454FC7">
      <w:pPr>
        <w:rPr>
          <w:lang w:val="bg-BG"/>
        </w:rPr>
      </w:pPr>
      <w:r w:rsidRPr="006D5E72">
        <w:rPr>
          <w:lang w:val="bg-BG"/>
        </w:rPr>
        <w:t>(7) Когато чрез привидна сделка се прикрива сделка, по която се дължи комисионно възнаграждение, обвързано с резултати, променливата част от таксата по ал. 1 се определя в размер на 20 на сто върху стойността на прикритото комисионно възнаграждение.</w:t>
      </w:r>
    </w:p>
    <w:p w14:paraId="75A49141" w14:textId="77777777" w:rsidR="00454FC7" w:rsidRPr="006D5E72" w:rsidRDefault="00454FC7" w:rsidP="00454FC7">
      <w:pPr>
        <w:rPr>
          <w:lang w:val="bg-BG"/>
        </w:rPr>
      </w:pPr>
      <w:r w:rsidRPr="006D5E72">
        <w:rPr>
          <w:b/>
          <w:bCs/>
          <w:lang w:val="bg-BG"/>
        </w:rPr>
        <w:t xml:space="preserve">(8) Счетоводните приходи, съответно доходите от комисионни възнаграждения, обвързани с резултати, на </w:t>
      </w:r>
      <w:proofErr w:type="spellStart"/>
      <w:r w:rsidRPr="006D5E72">
        <w:rPr>
          <w:b/>
          <w:bCs/>
          <w:lang w:val="bg-BG"/>
        </w:rPr>
        <w:t>афилиейт</w:t>
      </w:r>
      <w:proofErr w:type="spellEnd"/>
      <w:r w:rsidRPr="006D5E72">
        <w:rPr>
          <w:b/>
          <w:bCs/>
          <w:lang w:val="bg-BG"/>
        </w:rPr>
        <w:t xml:space="preserve"> операторите, върху стойността на които е внесена променливата част от таксата по ал. 1, не се признават за данъчни цели по реда на Закона за корпоративното подоходно облагане, съответно представляват необлагаем доход за целите на Закона за данъците върху доходите на физическите лица</w:t>
      </w:r>
      <w:r w:rsidRPr="006D5E72">
        <w:rPr>
          <w:lang w:val="bg-BG"/>
        </w:rPr>
        <w:t>. Счетоводните разходи, възникнали по повод на непризнати за данъчни цели приходи по изречение първо, не се признават за данъчни цели по реда на Закона за корпоративното подоходно облагане.</w:t>
      </w:r>
    </w:p>
    <w:p w14:paraId="45656CC4" w14:textId="77777777" w:rsidR="00454FC7" w:rsidRPr="006D5E72" w:rsidRDefault="00454FC7" w:rsidP="00454FC7">
      <w:pPr>
        <w:rPr>
          <w:lang w:val="bg-BG"/>
        </w:rPr>
      </w:pPr>
      <w:r w:rsidRPr="006D5E72">
        <w:rPr>
          <w:lang w:val="bg-BG"/>
        </w:rPr>
        <w:t>(9) В случаите, когато чрез привидна сделка се прикрива сделка, по която се дължи комисионно възнаграждение, обвързано с резултати, включително когато е платена таксата по ал. 7 върху стойността на прикритото комисионно възнаграждение, ал. 8 не се прилага.</w:t>
      </w:r>
    </w:p>
    <w:p w14:paraId="5F0A624F" w14:textId="77777777" w:rsidR="00454FC7" w:rsidRPr="006D5E72" w:rsidRDefault="00454FC7" w:rsidP="00454FC7">
      <w:pPr>
        <w:rPr>
          <w:lang w:val="bg-BG"/>
        </w:rPr>
      </w:pPr>
      <w:r w:rsidRPr="006D5E72">
        <w:rPr>
          <w:lang w:val="bg-BG"/>
        </w:rPr>
        <w:lastRenderedPageBreak/>
        <w:t xml:space="preserve">(10) За </w:t>
      </w:r>
      <w:proofErr w:type="spellStart"/>
      <w:r w:rsidRPr="006D5E72">
        <w:rPr>
          <w:lang w:val="bg-BG"/>
        </w:rPr>
        <w:t>невнесените</w:t>
      </w:r>
      <w:proofErr w:type="spellEnd"/>
      <w:r w:rsidRPr="006D5E72">
        <w:rPr>
          <w:lang w:val="bg-BG"/>
        </w:rPr>
        <w:t xml:space="preserve"> в срок такси по ал. 1 и 7 се дължат лихви съгласно Закона за лихвите върху данъци, такси и други подобни държавни вземания.</w:t>
      </w:r>
    </w:p>
    <w:p w14:paraId="2C6A5900" w14:textId="77777777" w:rsidR="00454FC7" w:rsidRPr="005F0586" w:rsidRDefault="00454FC7" w:rsidP="00454FC7">
      <w:pPr>
        <w:rPr>
          <w:lang w:val="bg-BG"/>
        </w:rPr>
      </w:pPr>
      <w:r>
        <w:rPr>
          <w:lang w:val="bg-BG"/>
        </w:rPr>
        <w:t>………………………………….</w:t>
      </w:r>
    </w:p>
    <w:p w14:paraId="06E528D9" w14:textId="77777777" w:rsidR="00454FC7" w:rsidRPr="006D5E72" w:rsidRDefault="00454FC7" w:rsidP="00454FC7">
      <w:pPr>
        <w:rPr>
          <w:lang w:val="bg-BG"/>
        </w:rPr>
      </w:pPr>
    </w:p>
    <w:p w14:paraId="34D471F5" w14:textId="77777777" w:rsidR="006D6962" w:rsidRPr="006D5E72" w:rsidRDefault="006D6962" w:rsidP="006D5E72">
      <w:pPr>
        <w:rPr>
          <w:lang w:val="bg-BG"/>
        </w:rPr>
      </w:pPr>
    </w:p>
    <w:sectPr w:rsidR="006D6962" w:rsidRPr="006D5E72" w:rsidSect="00454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72"/>
    <w:rsid w:val="0005575B"/>
    <w:rsid w:val="000C40C6"/>
    <w:rsid w:val="00454FC7"/>
    <w:rsid w:val="005F0586"/>
    <w:rsid w:val="006D5E72"/>
    <w:rsid w:val="006D6962"/>
    <w:rsid w:val="00755977"/>
    <w:rsid w:val="00AF7599"/>
    <w:rsid w:val="00B7005E"/>
    <w:rsid w:val="00D811EC"/>
    <w:rsid w:val="00DC0E8A"/>
    <w:rsid w:val="00F8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1B1BF"/>
  <w15:chartTrackingRefBased/>
  <w15:docId w15:val="{4744913C-6D3F-4C13-89AF-2C63B00C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1EC"/>
  </w:style>
  <w:style w:type="paragraph" w:styleId="Heading1">
    <w:name w:val="heading 1"/>
    <w:basedOn w:val="Normal"/>
    <w:next w:val="Normal"/>
    <w:link w:val="Heading1Char"/>
    <w:uiPriority w:val="9"/>
    <w:qFormat/>
    <w:rsid w:val="00D811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11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11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D5E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5E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5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811E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11EC"/>
    <w:rPr>
      <w:rFonts w:ascii="Times New Roman" w:eastAsia="Times New Roman" w:hAnsi="Times New Roman" w:cs="Times New Roman"/>
      <w:b/>
      <w:bCs/>
      <w:sz w:val="27"/>
      <w:szCs w:val="27"/>
    </w:rPr>
  </w:style>
  <w:style w:type="character" w:styleId="Strong">
    <w:name w:val="Strong"/>
    <w:basedOn w:val="DefaultParagraphFont"/>
    <w:uiPriority w:val="22"/>
    <w:qFormat/>
    <w:rsid w:val="00D811EC"/>
    <w:rPr>
      <w:b/>
      <w:bCs/>
    </w:rPr>
  </w:style>
  <w:style w:type="paragraph" w:styleId="ListParagraph">
    <w:name w:val="List Paragraph"/>
    <w:basedOn w:val="Normal"/>
    <w:uiPriority w:val="34"/>
    <w:qFormat/>
    <w:rsid w:val="00D811EC"/>
    <w:pPr>
      <w:ind w:left="720"/>
      <w:contextualSpacing/>
    </w:pPr>
  </w:style>
  <w:style w:type="character" w:customStyle="1" w:styleId="Heading4Char">
    <w:name w:val="Heading 4 Char"/>
    <w:basedOn w:val="DefaultParagraphFont"/>
    <w:link w:val="Heading4"/>
    <w:uiPriority w:val="9"/>
    <w:semiHidden/>
    <w:rsid w:val="006D5E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5E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5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E72"/>
    <w:rPr>
      <w:rFonts w:eastAsiaTheme="majorEastAsia" w:cstheme="majorBidi"/>
      <w:color w:val="272727" w:themeColor="text1" w:themeTint="D8"/>
    </w:rPr>
  </w:style>
  <w:style w:type="paragraph" w:styleId="Title">
    <w:name w:val="Title"/>
    <w:basedOn w:val="Normal"/>
    <w:next w:val="Normal"/>
    <w:link w:val="TitleChar"/>
    <w:uiPriority w:val="10"/>
    <w:qFormat/>
    <w:rsid w:val="006D5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E72"/>
    <w:pPr>
      <w:spacing w:before="160"/>
      <w:jc w:val="center"/>
    </w:pPr>
    <w:rPr>
      <w:i/>
      <w:iCs/>
      <w:color w:val="404040" w:themeColor="text1" w:themeTint="BF"/>
    </w:rPr>
  </w:style>
  <w:style w:type="character" w:customStyle="1" w:styleId="QuoteChar">
    <w:name w:val="Quote Char"/>
    <w:basedOn w:val="DefaultParagraphFont"/>
    <w:link w:val="Quote"/>
    <w:uiPriority w:val="29"/>
    <w:rsid w:val="006D5E72"/>
    <w:rPr>
      <w:i/>
      <w:iCs/>
      <w:color w:val="404040" w:themeColor="text1" w:themeTint="BF"/>
    </w:rPr>
  </w:style>
  <w:style w:type="character" w:styleId="IntenseEmphasis">
    <w:name w:val="Intense Emphasis"/>
    <w:basedOn w:val="DefaultParagraphFont"/>
    <w:uiPriority w:val="21"/>
    <w:qFormat/>
    <w:rsid w:val="006D5E72"/>
    <w:rPr>
      <w:i/>
      <w:iCs/>
      <w:color w:val="2F5496" w:themeColor="accent1" w:themeShade="BF"/>
    </w:rPr>
  </w:style>
  <w:style w:type="paragraph" w:styleId="IntenseQuote">
    <w:name w:val="Intense Quote"/>
    <w:basedOn w:val="Normal"/>
    <w:next w:val="Normal"/>
    <w:link w:val="IntenseQuoteChar"/>
    <w:uiPriority w:val="30"/>
    <w:qFormat/>
    <w:rsid w:val="006D5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5E72"/>
    <w:rPr>
      <w:i/>
      <w:iCs/>
      <w:color w:val="2F5496" w:themeColor="accent1" w:themeShade="BF"/>
    </w:rPr>
  </w:style>
  <w:style w:type="character" w:styleId="IntenseReference">
    <w:name w:val="Intense Reference"/>
    <w:basedOn w:val="DefaultParagraphFont"/>
    <w:uiPriority w:val="32"/>
    <w:qFormat/>
    <w:rsid w:val="006D5E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Mermerski</dc:creator>
  <cp:keywords/>
  <dc:description/>
  <cp:lastModifiedBy>Marin Mermerski</cp:lastModifiedBy>
  <cp:revision>4</cp:revision>
  <dcterms:created xsi:type="dcterms:W3CDTF">2026-08-01T05:38:00Z</dcterms:created>
  <dcterms:modified xsi:type="dcterms:W3CDTF">2026-08-01T05:38:00Z</dcterms:modified>
</cp:coreProperties>
</file>