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69BD" w14:textId="77777777" w:rsidR="00EA31BB" w:rsidRPr="00EA31BB" w:rsidRDefault="00EA31BB" w:rsidP="00EA31BB">
      <w:pPr>
        <w:rPr>
          <w:b/>
          <w:bCs/>
          <w:lang w:val="bg-BG"/>
        </w:rPr>
      </w:pPr>
      <w:r w:rsidRPr="00EA31BB">
        <w:rPr>
          <w:b/>
          <w:bCs/>
          <w:lang w:val="bg-BG"/>
        </w:rPr>
        <w:t>Реклама</w:t>
      </w:r>
    </w:p>
    <w:p w14:paraId="1A83D615" w14:textId="77777777" w:rsidR="00EA31BB" w:rsidRPr="00EA31BB" w:rsidRDefault="00EA31BB" w:rsidP="00EA31BB">
      <w:pPr>
        <w:rPr>
          <w:lang w:val="bg-BG"/>
        </w:rPr>
      </w:pPr>
      <w:r w:rsidRPr="00EA31BB">
        <w:rPr>
          <w:b/>
          <w:bCs/>
          <w:lang w:val="bg-BG"/>
        </w:rPr>
        <w:t>Чл. 10</w:t>
      </w:r>
      <w:r w:rsidRPr="00EA31BB">
        <w:rPr>
          <w:lang w:val="bg-BG"/>
        </w:rPr>
        <w:t>. </w:t>
      </w:r>
      <w:r w:rsidRPr="00EA31BB">
        <w:rPr>
          <w:i/>
          <w:iCs/>
          <w:lang w:val="bg-BG"/>
        </w:rPr>
        <w:t>(Изм. - ДВ, бр. 42 от 2024 г.)</w:t>
      </w:r>
      <w:r w:rsidRPr="00EA31BB">
        <w:rPr>
          <w:lang w:val="bg-BG"/>
        </w:rPr>
        <w:t> </w:t>
      </w:r>
      <w:r w:rsidRPr="00EA31BB">
        <w:rPr>
          <w:b/>
          <w:bCs/>
          <w:lang w:val="bg-BG"/>
        </w:rPr>
        <w:t>(1) </w:t>
      </w:r>
      <w:r w:rsidRPr="00EA31BB">
        <w:rPr>
          <w:lang w:val="bg-BG"/>
        </w:rPr>
        <w:t>Забранява се рекламата на хазартни игри:</w:t>
      </w:r>
    </w:p>
    <w:p w14:paraId="4EB8B48D" w14:textId="77777777" w:rsidR="00EA31BB" w:rsidRPr="00EA31BB" w:rsidRDefault="00EA31BB" w:rsidP="00EA31BB">
      <w:pPr>
        <w:rPr>
          <w:lang w:val="bg-BG"/>
        </w:rPr>
      </w:pPr>
      <w:r w:rsidRPr="00EA31BB">
        <w:rPr>
          <w:b/>
          <w:bCs/>
          <w:lang w:val="bg-BG"/>
        </w:rPr>
        <w:t>1.</w:t>
      </w:r>
      <w:r w:rsidRPr="00EA31BB">
        <w:rPr>
          <w:lang w:val="bg-BG"/>
        </w:rPr>
        <w:t> в радио- и телевизионни програми, с изключение на излъчването на тиражите на Държавно предприятие "Български спортен тотализатор" и тяхното анонсиране;</w:t>
      </w:r>
    </w:p>
    <w:p w14:paraId="1EF365A8" w14:textId="77777777" w:rsidR="00EA31BB" w:rsidRPr="00EA31BB" w:rsidRDefault="00EA31BB" w:rsidP="00EA31BB">
      <w:pPr>
        <w:rPr>
          <w:lang w:val="bg-BG"/>
        </w:rPr>
      </w:pPr>
      <w:r w:rsidRPr="00EA31BB">
        <w:rPr>
          <w:b/>
          <w:bCs/>
          <w:lang w:val="bg-BG"/>
        </w:rPr>
        <w:t>2.</w:t>
      </w:r>
      <w:r w:rsidRPr="00EA31BB">
        <w:rPr>
          <w:lang w:val="bg-BG"/>
        </w:rPr>
        <w:t> на обществени места, включително фасади на сгради;</w:t>
      </w:r>
    </w:p>
    <w:p w14:paraId="7A8FAF1A" w14:textId="77777777" w:rsidR="00EA31BB" w:rsidRPr="00EA31BB" w:rsidRDefault="00EA31BB" w:rsidP="00EA31BB">
      <w:pPr>
        <w:rPr>
          <w:lang w:val="bg-BG"/>
        </w:rPr>
      </w:pPr>
      <w:r w:rsidRPr="00EA31BB">
        <w:rPr>
          <w:b/>
          <w:bCs/>
          <w:lang w:val="bg-BG"/>
        </w:rPr>
        <w:t>3.</w:t>
      </w:r>
      <w:r w:rsidRPr="00EA31BB">
        <w:rPr>
          <w:lang w:val="bg-BG"/>
        </w:rPr>
        <w:t> в печатни произведения и електронни медии, включително и интернет страници;</w:t>
      </w:r>
    </w:p>
    <w:p w14:paraId="753D66D0" w14:textId="77777777" w:rsidR="00EA31BB" w:rsidRPr="00EA31BB" w:rsidRDefault="00EA31BB" w:rsidP="00EA31BB">
      <w:pPr>
        <w:rPr>
          <w:lang w:val="bg-BG"/>
        </w:rPr>
      </w:pPr>
      <w:r w:rsidRPr="00EA31BB">
        <w:rPr>
          <w:b/>
          <w:bCs/>
          <w:lang w:val="bg-BG"/>
        </w:rPr>
        <w:t>4.</w:t>
      </w:r>
      <w:r w:rsidRPr="00EA31BB">
        <w:rPr>
          <w:lang w:val="bg-BG"/>
        </w:rPr>
        <w:t> върху имущество - държавна собственост и общинска собственост, с изключение на обекти, които имат издаден лиценз по реда на този закон;</w:t>
      </w:r>
    </w:p>
    <w:p w14:paraId="4F9E28D5" w14:textId="77777777" w:rsidR="00EA31BB" w:rsidRPr="00EA31BB" w:rsidRDefault="00EA31BB" w:rsidP="00EA31BB">
      <w:pPr>
        <w:rPr>
          <w:lang w:val="bg-BG"/>
        </w:rPr>
      </w:pPr>
      <w:r w:rsidRPr="00EA31BB">
        <w:rPr>
          <w:b/>
          <w:bCs/>
          <w:lang w:val="bg-BG"/>
        </w:rPr>
        <w:t>5.</w:t>
      </w:r>
      <w:r w:rsidRPr="00EA31BB">
        <w:rPr>
          <w:lang w:val="bg-BG"/>
        </w:rPr>
        <w:t> върху външни рекламни съоръжения в повече от 5 на сто от общата рекламна площ на всеки доставчик на рекламни услуги чрез външни рекламни съоръжения.</w:t>
      </w:r>
    </w:p>
    <w:p w14:paraId="0191432F" w14:textId="77777777" w:rsidR="00EA31BB" w:rsidRPr="00EA31BB" w:rsidRDefault="00EA31BB" w:rsidP="00EA31BB">
      <w:pPr>
        <w:rPr>
          <w:lang w:val="bg-BG"/>
        </w:rPr>
      </w:pPr>
      <w:r w:rsidRPr="00EA31BB">
        <w:rPr>
          <w:b/>
          <w:bCs/>
          <w:lang w:val="bg-BG"/>
        </w:rPr>
        <w:t>(2) </w:t>
      </w:r>
      <w:r w:rsidRPr="00EA31BB">
        <w:rPr>
          <w:lang w:val="bg-BG"/>
        </w:rPr>
        <w:t>Допуска се реклама на хазартни игри:</w:t>
      </w:r>
    </w:p>
    <w:p w14:paraId="3CCB0059" w14:textId="77777777" w:rsidR="00EA31BB" w:rsidRPr="00EA31BB" w:rsidRDefault="00EA31BB" w:rsidP="00EA31BB">
      <w:pPr>
        <w:rPr>
          <w:lang w:val="bg-BG"/>
        </w:rPr>
      </w:pPr>
      <w:r w:rsidRPr="00EA31BB">
        <w:rPr>
          <w:b/>
          <w:bCs/>
          <w:lang w:val="bg-BG"/>
        </w:rPr>
        <w:t>1.</w:t>
      </w:r>
      <w:r w:rsidRPr="00EA31BB">
        <w:rPr>
          <w:lang w:val="bg-BG"/>
        </w:rPr>
        <w:t> върху външни изградени съоръжения тип билборд, находящи се на разстояние не по-малко от 300 метра от образователни институции по смисъла на Закона за предучилищното и училищното образование, висши училища по смисъла на Закона за висшето образование, читалища по смисъла на Закона за народните читалища, детски площадки, ученически и студентски общежития, както и от обекти, в които се предоставят социални услуги на деца и младежи; за измерване на отстоянието се прилагат съответно чл. 44, ал. 2 и 3 или наредбата по чл. 44, ал. 2;</w:t>
      </w:r>
    </w:p>
    <w:p w14:paraId="52D9187E" w14:textId="77777777" w:rsidR="00EA31BB" w:rsidRPr="00EA31BB" w:rsidRDefault="00EA31BB" w:rsidP="00EA31BB">
      <w:pPr>
        <w:rPr>
          <w:lang w:val="bg-BG"/>
        </w:rPr>
      </w:pPr>
      <w:r w:rsidRPr="00EA31BB">
        <w:rPr>
          <w:b/>
          <w:bCs/>
          <w:lang w:val="bg-BG"/>
        </w:rPr>
        <w:t>2.</w:t>
      </w:r>
      <w:r w:rsidRPr="00EA31BB">
        <w:rPr>
          <w:lang w:val="bg-BG"/>
        </w:rPr>
        <w:t> върху фасада на обект за организиране на хазартни игри по този закон, за дейността на организатора на хазартни игри в този обект, като общата площ на рекламите и обозначенията не може да надвишава двадесет на сто от фасадата и е не повече от 50 квадратни метра;</w:t>
      </w:r>
    </w:p>
    <w:p w14:paraId="6D8D8DFC" w14:textId="77777777" w:rsidR="00EA31BB" w:rsidRPr="00EA31BB" w:rsidRDefault="00EA31BB" w:rsidP="00EA31BB">
      <w:pPr>
        <w:rPr>
          <w:lang w:val="bg-BG"/>
        </w:rPr>
      </w:pPr>
      <w:r w:rsidRPr="00EA31BB">
        <w:rPr>
          <w:b/>
          <w:bCs/>
          <w:lang w:val="bg-BG"/>
        </w:rPr>
        <w:t>3.</w:t>
      </w:r>
      <w:r w:rsidRPr="00EA31BB">
        <w:rPr>
          <w:lang w:val="bg-BG"/>
        </w:rPr>
        <w:t> върху спортна екипировка, спортни съоръжения, спортни зали, стадиони и басейни, материали или продукти на спортни федерации, клубове, сдружения и организации, освен върху спортна екипировка, материали или продукти, които са предназначени за ползване от малолетни и непълнолетни лица.</w:t>
      </w:r>
    </w:p>
    <w:p w14:paraId="6A8CF22F" w14:textId="77777777" w:rsidR="00EA31BB" w:rsidRPr="00EA31BB" w:rsidRDefault="00EA31BB" w:rsidP="00EA31BB">
      <w:pPr>
        <w:rPr>
          <w:lang w:val="bg-BG"/>
        </w:rPr>
      </w:pPr>
      <w:r w:rsidRPr="00EA31BB">
        <w:rPr>
          <w:b/>
          <w:bCs/>
          <w:lang w:val="bg-BG"/>
        </w:rPr>
        <w:t>(3) </w:t>
      </w:r>
      <w:r w:rsidRPr="00EA31BB">
        <w:rPr>
          <w:lang w:val="bg-BG"/>
        </w:rPr>
        <w:t>В рекламата по ал. 2 се допуска обявяване на:</w:t>
      </w:r>
    </w:p>
    <w:p w14:paraId="3C33D5CF" w14:textId="77777777" w:rsidR="00EA31BB" w:rsidRPr="00EA31BB" w:rsidRDefault="00EA31BB" w:rsidP="00EA31BB">
      <w:pPr>
        <w:rPr>
          <w:lang w:val="bg-BG"/>
        </w:rPr>
      </w:pPr>
      <w:r w:rsidRPr="00EA31BB">
        <w:rPr>
          <w:b/>
          <w:bCs/>
          <w:lang w:val="bg-BG"/>
        </w:rPr>
        <w:t>1.</w:t>
      </w:r>
      <w:r w:rsidRPr="00EA31BB">
        <w:rPr>
          <w:lang w:val="bg-BG"/>
        </w:rPr>
        <w:t> наименованията, вида и разновидността на хазартните игри;</w:t>
      </w:r>
    </w:p>
    <w:p w14:paraId="2B9E2CC9" w14:textId="77777777" w:rsidR="00EA31BB" w:rsidRPr="00EA31BB" w:rsidRDefault="00EA31BB" w:rsidP="00EA31BB">
      <w:pPr>
        <w:rPr>
          <w:lang w:val="bg-BG"/>
        </w:rPr>
      </w:pPr>
      <w:r w:rsidRPr="00EA31BB">
        <w:rPr>
          <w:b/>
          <w:bCs/>
          <w:lang w:val="bg-BG"/>
        </w:rPr>
        <w:t>2.</w:t>
      </w:r>
      <w:r w:rsidRPr="00EA31BB">
        <w:rPr>
          <w:lang w:val="bg-BG"/>
        </w:rPr>
        <w:t> регистрираната търговска марка на организатора, а при провеждане на мероприятие по ал. 5 и/или фирмата (наименованието) на организатора;</w:t>
      </w:r>
    </w:p>
    <w:p w14:paraId="6E28D28A" w14:textId="77777777" w:rsidR="00EA31BB" w:rsidRPr="00EA31BB" w:rsidRDefault="00EA31BB" w:rsidP="00EA31BB">
      <w:pPr>
        <w:rPr>
          <w:lang w:val="bg-BG"/>
        </w:rPr>
      </w:pPr>
      <w:r w:rsidRPr="00EA31BB">
        <w:rPr>
          <w:b/>
          <w:bCs/>
          <w:lang w:val="bg-BG"/>
        </w:rPr>
        <w:t>3.</w:t>
      </w:r>
      <w:r w:rsidRPr="00EA31BB">
        <w:rPr>
          <w:lang w:val="bg-BG"/>
        </w:rPr>
        <w:t> тегленията на тиражите и обявяване на печалбите в тях.</w:t>
      </w:r>
    </w:p>
    <w:p w14:paraId="2F21E8D4" w14:textId="77777777" w:rsidR="00EA31BB" w:rsidRPr="00EA31BB" w:rsidRDefault="00EA31BB" w:rsidP="00EA31BB">
      <w:pPr>
        <w:rPr>
          <w:lang w:val="bg-BG"/>
        </w:rPr>
      </w:pPr>
      <w:r w:rsidRPr="00EA31BB">
        <w:rPr>
          <w:b/>
          <w:bCs/>
          <w:lang w:val="bg-BG"/>
        </w:rPr>
        <w:t>(4) </w:t>
      </w:r>
      <w:r w:rsidRPr="00EA31BB">
        <w:rPr>
          <w:lang w:val="bg-BG"/>
        </w:rPr>
        <w:t>На всички реклами по ал. 2, т. 1 и 2, както и по т. 3 с изключение на спортна екипировка, задължително минимум 10 на сто от площта е заета с текст: "Хазартът носи риск от развиване на зависимост".</w:t>
      </w:r>
    </w:p>
    <w:p w14:paraId="42EDC7AF" w14:textId="77777777" w:rsidR="00EA31BB" w:rsidRPr="00EA31BB" w:rsidRDefault="00EA31BB" w:rsidP="00EA31BB">
      <w:pPr>
        <w:rPr>
          <w:lang w:val="bg-BG"/>
        </w:rPr>
      </w:pPr>
      <w:r w:rsidRPr="00EA31BB">
        <w:rPr>
          <w:b/>
          <w:bCs/>
          <w:lang w:val="bg-BG"/>
        </w:rPr>
        <w:t>(5) </w:t>
      </w:r>
      <w:r w:rsidRPr="00EA31BB">
        <w:rPr>
          <w:lang w:val="bg-BG"/>
        </w:rPr>
        <w:t xml:space="preserve">Организаторите на хазартни игри, получили лиценз по реда на този закон, имат право да спонсорират мероприятия, подпомагащи спорта, културата, здравеопазването, образованието, </w:t>
      </w:r>
      <w:r w:rsidRPr="00EA31BB">
        <w:rPr>
          <w:lang w:val="bg-BG"/>
        </w:rPr>
        <w:lastRenderedPageBreak/>
        <w:t>социалното дело, както и дейности, свързани с превенция и лечение на хазартно зависими лица при спазване на ограниченията по ал. 1 - 4.</w:t>
      </w:r>
    </w:p>
    <w:p w14:paraId="37126708" w14:textId="77777777" w:rsidR="00EA31BB" w:rsidRPr="00EA31BB" w:rsidRDefault="00EA31BB" w:rsidP="00EA31BB">
      <w:pPr>
        <w:rPr>
          <w:lang w:val="bg-BG"/>
        </w:rPr>
      </w:pPr>
      <w:r w:rsidRPr="00EA31BB">
        <w:rPr>
          <w:b/>
          <w:bCs/>
          <w:lang w:val="bg-BG"/>
        </w:rPr>
        <w:t>(6) </w:t>
      </w:r>
      <w:r w:rsidRPr="00EA31BB">
        <w:rPr>
          <w:lang w:val="bg-BG"/>
        </w:rPr>
        <w:t>Забранява се в рекламата по ал. 2 да се съдържат цифри. Забранява се публикуването, излъчването или разпространението на информация по отношение на хазартни игри извън посочената в ал. 3 и 5.</w:t>
      </w:r>
    </w:p>
    <w:p w14:paraId="58076B4E" w14:textId="77777777" w:rsidR="00EA31BB" w:rsidRPr="00EA31BB" w:rsidRDefault="00EA31BB" w:rsidP="00EA31BB">
      <w:pPr>
        <w:rPr>
          <w:lang w:val="bg-BG"/>
        </w:rPr>
      </w:pPr>
      <w:r w:rsidRPr="00EA31BB">
        <w:rPr>
          <w:b/>
          <w:bCs/>
          <w:lang w:val="bg-BG"/>
        </w:rPr>
        <w:t>(7) </w:t>
      </w:r>
      <w:r w:rsidRPr="00EA31BB">
        <w:rPr>
          <w:i/>
          <w:iCs/>
          <w:lang w:val="bg-BG"/>
        </w:rPr>
        <w:t>(Изм. - ДВ, бр. 69 от 2026 г., в сила от 01.08.2026 г.)</w:t>
      </w:r>
      <w:r w:rsidRPr="00EA31BB">
        <w:rPr>
          <w:lang w:val="bg-BG"/>
        </w:rPr>
        <w:t> Лицата, които публикуват, излъчват или разпространяват информацията по ал. 3 и 5, са длъжни при подписване на договорите да извършват справка в регистъра по чл. 20, ал. 1, т. 6, за да установят, че организаторът на съответната хазартна игра има издаден лиценз за нея по този закон.</w:t>
      </w:r>
    </w:p>
    <w:p w14:paraId="2FAC8187" w14:textId="77777777" w:rsidR="00EA31BB" w:rsidRPr="00EA31BB" w:rsidRDefault="00EA31BB" w:rsidP="00EA31BB">
      <w:pPr>
        <w:rPr>
          <w:lang w:val="bg-BG"/>
        </w:rPr>
      </w:pPr>
      <w:r w:rsidRPr="00EA31BB">
        <w:rPr>
          <w:b/>
          <w:bCs/>
          <w:lang w:val="bg-BG"/>
        </w:rPr>
        <w:t>(8) </w:t>
      </w:r>
      <w:r w:rsidRPr="00EA31BB">
        <w:rPr>
          <w:lang w:val="bg-BG"/>
        </w:rPr>
        <w:t>При осъществяване на своите правомощия по чл. 32, ал. 1, т. 1 и т. 10 от Закона за радиото и телевизията Съветът за електронни медии осъществява надзор на рекламното съдържание в медийното пространство. В случай че Съветът за електронни медии установи факти и обстоятелства, имащи характер на нарушения на нормативните актове при осъществяване на реклама, следва да сезира Националната агенция за приходите за провеждане на административнонаказателно производство. Съветът за електронни медии сезира Националната агенция за приходите, изпращайки информация относно установените факти и обстоятелства, евентуално нарушената правна норма, нарушителя, т.е. конкретният доставчик на медийната услуга, както и всякаква друга релевантна информация.</w:t>
      </w:r>
    </w:p>
    <w:p w14:paraId="07F1EAFE" w14:textId="77777777" w:rsidR="00EA31BB" w:rsidRPr="00EA31BB" w:rsidRDefault="00EA31BB" w:rsidP="00EA31BB">
      <w:pPr>
        <w:rPr>
          <w:lang w:val="bg-BG"/>
        </w:rPr>
      </w:pPr>
      <w:r w:rsidRPr="00EA31BB">
        <w:rPr>
          <w:b/>
          <w:bCs/>
          <w:lang w:val="bg-BG"/>
        </w:rPr>
        <w:t>(9) </w:t>
      </w:r>
      <w:r w:rsidRPr="00EA31BB">
        <w:rPr>
          <w:i/>
          <w:iCs/>
          <w:lang w:val="bg-BG"/>
        </w:rPr>
        <w:t>(Нова - ДВ, бр. 69 от 2026 г., в сила от 01.08.2026 г.)</w:t>
      </w:r>
      <w:r w:rsidRPr="00EA31BB">
        <w:rPr>
          <w:lang w:val="bg-BG"/>
        </w:rPr>
        <w:t xml:space="preserve"> Дейността по популяризиране на хазартни игри на </w:t>
      </w:r>
      <w:proofErr w:type="spellStart"/>
      <w:r w:rsidRPr="00EA31BB">
        <w:rPr>
          <w:lang w:val="bg-BG"/>
        </w:rPr>
        <w:t>афилиейт</w:t>
      </w:r>
      <w:proofErr w:type="spellEnd"/>
      <w:r w:rsidRPr="00EA31BB">
        <w:rPr>
          <w:lang w:val="bg-BG"/>
        </w:rPr>
        <w:t xml:space="preserve"> оператори се организира в съответствие с ограниченията за реклама на хазартни игри по този закон.</w:t>
      </w:r>
    </w:p>
    <w:p w14:paraId="1EA11180" w14:textId="77777777" w:rsidR="00F878C4" w:rsidRPr="00EA31BB" w:rsidRDefault="00F878C4">
      <w:pPr>
        <w:rPr>
          <w:lang w:val="bg-BG"/>
        </w:rPr>
      </w:pPr>
    </w:p>
    <w:sectPr w:rsidR="00F878C4" w:rsidRPr="00EA3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BB"/>
    <w:rsid w:val="0089192A"/>
    <w:rsid w:val="00AF7599"/>
    <w:rsid w:val="00D811EC"/>
    <w:rsid w:val="00DC0E8A"/>
    <w:rsid w:val="00EA31BB"/>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F883"/>
  <w15:chartTrackingRefBased/>
  <w15:docId w15:val="{E91BCAAD-49ED-417D-A52D-A8B846CB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1EC"/>
  </w:style>
  <w:style w:type="paragraph" w:styleId="Heading1">
    <w:name w:val="heading 1"/>
    <w:basedOn w:val="Normal"/>
    <w:next w:val="Normal"/>
    <w:link w:val="Heading1Char"/>
    <w:uiPriority w:val="9"/>
    <w:qFormat/>
    <w:rsid w:val="00D811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1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A31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31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3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ind w:left="720"/>
      <w:contextualSpacing/>
    </w:pPr>
  </w:style>
  <w:style w:type="character" w:customStyle="1" w:styleId="Heading4Char">
    <w:name w:val="Heading 4 Char"/>
    <w:basedOn w:val="DefaultParagraphFont"/>
    <w:link w:val="Heading4"/>
    <w:uiPriority w:val="9"/>
    <w:semiHidden/>
    <w:rsid w:val="00EA31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31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3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1BB"/>
    <w:rPr>
      <w:rFonts w:eastAsiaTheme="majorEastAsia" w:cstheme="majorBidi"/>
      <w:color w:val="272727" w:themeColor="text1" w:themeTint="D8"/>
    </w:rPr>
  </w:style>
  <w:style w:type="paragraph" w:styleId="Title">
    <w:name w:val="Title"/>
    <w:basedOn w:val="Normal"/>
    <w:next w:val="Normal"/>
    <w:link w:val="TitleChar"/>
    <w:uiPriority w:val="10"/>
    <w:qFormat/>
    <w:rsid w:val="00EA3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1BB"/>
    <w:pPr>
      <w:spacing w:before="160"/>
      <w:jc w:val="center"/>
    </w:pPr>
    <w:rPr>
      <w:i/>
      <w:iCs/>
      <w:color w:val="404040" w:themeColor="text1" w:themeTint="BF"/>
    </w:rPr>
  </w:style>
  <w:style w:type="character" w:customStyle="1" w:styleId="QuoteChar">
    <w:name w:val="Quote Char"/>
    <w:basedOn w:val="DefaultParagraphFont"/>
    <w:link w:val="Quote"/>
    <w:uiPriority w:val="29"/>
    <w:rsid w:val="00EA31BB"/>
    <w:rPr>
      <w:i/>
      <w:iCs/>
      <w:color w:val="404040" w:themeColor="text1" w:themeTint="BF"/>
    </w:rPr>
  </w:style>
  <w:style w:type="character" w:styleId="IntenseEmphasis">
    <w:name w:val="Intense Emphasis"/>
    <w:basedOn w:val="DefaultParagraphFont"/>
    <w:uiPriority w:val="21"/>
    <w:qFormat/>
    <w:rsid w:val="00EA31BB"/>
    <w:rPr>
      <w:i/>
      <w:iCs/>
      <w:color w:val="2F5496" w:themeColor="accent1" w:themeShade="BF"/>
    </w:rPr>
  </w:style>
  <w:style w:type="paragraph" w:styleId="IntenseQuote">
    <w:name w:val="Intense Quote"/>
    <w:basedOn w:val="Normal"/>
    <w:next w:val="Normal"/>
    <w:link w:val="IntenseQuoteChar"/>
    <w:uiPriority w:val="30"/>
    <w:qFormat/>
    <w:rsid w:val="00EA3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31BB"/>
    <w:rPr>
      <w:i/>
      <w:iCs/>
      <w:color w:val="2F5496" w:themeColor="accent1" w:themeShade="BF"/>
    </w:rPr>
  </w:style>
  <w:style w:type="character" w:styleId="IntenseReference">
    <w:name w:val="Intense Reference"/>
    <w:basedOn w:val="DefaultParagraphFont"/>
    <w:uiPriority w:val="32"/>
    <w:qFormat/>
    <w:rsid w:val="00EA31BB"/>
    <w:rPr>
      <w:b/>
      <w:bCs/>
      <w:smallCaps/>
      <w:color w:val="2F5496" w:themeColor="accent1" w:themeShade="BF"/>
      <w:spacing w:val="5"/>
    </w:rPr>
  </w:style>
  <w:style w:type="character" w:styleId="Hyperlink">
    <w:name w:val="Hyperlink"/>
    <w:basedOn w:val="DefaultParagraphFont"/>
    <w:uiPriority w:val="99"/>
    <w:unhideWhenUsed/>
    <w:rsid w:val="00EA31BB"/>
    <w:rPr>
      <w:color w:val="0563C1" w:themeColor="hyperlink"/>
      <w:u w:val="single"/>
    </w:rPr>
  </w:style>
  <w:style w:type="character" w:styleId="UnresolvedMention">
    <w:name w:val="Unresolved Mention"/>
    <w:basedOn w:val="DefaultParagraphFont"/>
    <w:uiPriority w:val="99"/>
    <w:semiHidden/>
    <w:unhideWhenUsed/>
    <w:rsid w:val="00EA3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1</cp:revision>
  <dcterms:created xsi:type="dcterms:W3CDTF">2026-08-07T15:07:00Z</dcterms:created>
  <dcterms:modified xsi:type="dcterms:W3CDTF">2026-08-07T15:08:00Z</dcterms:modified>
</cp:coreProperties>
</file>