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53F9" w14:textId="77777777" w:rsidR="006A3CA0" w:rsidRPr="00254B7F" w:rsidRDefault="006A3CA0" w:rsidP="006A3CA0">
      <w:pPr>
        <w:jc w:val="center"/>
        <w:rPr>
          <w:rFonts w:ascii="Times New Roman" w:hAnsi="Times New Roman"/>
          <w:b/>
          <w:sz w:val="32"/>
          <w:szCs w:val="32"/>
        </w:rPr>
      </w:pPr>
      <w:r w:rsidRPr="00254B7F">
        <w:rPr>
          <w:rFonts w:ascii="Times New Roman" w:hAnsi="Times New Roman"/>
          <w:b/>
          <w:sz w:val="32"/>
          <w:szCs w:val="32"/>
        </w:rPr>
        <w:t>М  О  Т  И  В  И</w:t>
      </w:r>
    </w:p>
    <w:p w14:paraId="0BB455F2" w14:textId="77777777" w:rsidR="006A3CA0" w:rsidRPr="00254B7F" w:rsidRDefault="006A3CA0" w:rsidP="006A3CA0">
      <w:pPr>
        <w:jc w:val="center"/>
        <w:rPr>
          <w:rFonts w:ascii="Times New Roman" w:hAnsi="Times New Roman"/>
          <w:b/>
          <w:sz w:val="26"/>
          <w:szCs w:val="26"/>
        </w:rPr>
      </w:pPr>
    </w:p>
    <w:p w14:paraId="2051DA44" w14:textId="77777777" w:rsidR="006A3CA0" w:rsidRPr="00254B7F" w:rsidRDefault="006A3CA0" w:rsidP="006A3CA0">
      <w:pPr>
        <w:spacing w:line="288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254B7F">
        <w:rPr>
          <w:rFonts w:ascii="Times New Roman" w:hAnsi="Times New Roman"/>
          <w:b/>
          <w:smallCaps/>
          <w:sz w:val="28"/>
          <w:szCs w:val="28"/>
        </w:rPr>
        <w:t>към проекта на Закон за изменение и допълнение</w:t>
      </w:r>
    </w:p>
    <w:p w14:paraId="7F2F22C3" w14:textId="77777777" w:rsidR="006A3CA0" w:rsidRPr="00254B7F" w:rsidRDefault="006A3CA0" w:rsidP="006A3CA0">
      <w:pPr>
        <w:spacing w:line="288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254B7F">
        <w:rPr>
          <w:rFonts w:ascii="Times New Roman" w:hAnsi="Times New Roman"/>
          <w:b/>
          <w:smallCaps/>
          <w:sz w:val="28"/>
          <w:szCs w:val="28"/>
        </w:rPr>
        <w:t xml:space="preserve"> на Кодекса на труда</w:t>
      </w:r>
    </w:p>
    <w:p w14:paraId="4E559EA8" w14:textId="77777777" w:rsidR="006A3CA0" w:rsidRPr="00254B7F" w:rsidRDefault="006A3CA0" w:rsidP="006A3CA0">
      <w:pPr>
        <w:spacing w:line="288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5B46AC6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b/>
          <w:sz w:val="28"/>
          <w:szCs w:val="28"/>
        </w:rPr>
      </w:pPr>
    </w:p>
    <w:p w14:paraId="3570FC4E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Минималната работна заплата (МРЗ) е един от основните механизми за гарантиране на минимални права на работещите, предвидени в трудовото законодателство. Минималната работна заплата следва да изпълнява едновременно две основни функции – социална и икономическа. Социалните функции на МРЗ са насочени към защитата на най-уязвимите участници на пазара на труда и осигуряването на базов жизнен стандарт. От друга страна МРЗ има съществена роля за макроикономическата стабилност и насърчава лоялната конкуренция между предприятията.</w:t>
      </w:r>
    </w:p>
    <w:p w14:paraId="4A8C1606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С измененията в чл. 244 на Кодекса на труда (КТ) от началото на 2023 г. е въведен механизъм, обвързващ размера на МРЗ за страната за следващата календарна година с 50 на сто от средната брутна работна заплата за период от 12 месеца. На практика е установен автоматичен механизъм за определяне на МРЗ, който се е доказал като неефективен и водещ до съществени рискове както за икономиката, така и за бюджета на държавата.</w:t>
      </w:r>
    </w:p>
    <w:p w14:paraId="7B35CE46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Автоматичното нарастване на МРЗ чрез обвързване единствено със средната брутна заплата, не отчита ключови социално-икономически фактори, включително инфлацията и промените в производителността на труда. Прилагането на автоматичната формула за определянето на МРЗ, обвързана единствено с размера на средната брутна работна заплата, е предпоставка за повишаване на инфлацията и за затруднения при предприятията, особено в секторите с ниска добавена стойност и в по-слабо развитите региони на страната. Тя също така не гарантира адекватността на МРЗ на база на социални </w:t>
      </w:r>
      <w:r w:rsidRPr="00254B7F">
        <w:rPr>
          <w:rFonts w:ascii="Times New Roman" w:hAnsi="Times New Roman"/>
          <w:color w:val="000000"/>
          <w:sz w:val="28"/>
          <w:szCs w:val="28"/>
        </w:rPr>
        <w:lastRenderedPageBreak/>
        <w:t>показатели, чрез които да се подпомогне намаляването на бедността сред работещите и да се осигурят стимули за включване на пазара на труда.</w:t>
      </w:r>
    </w:p>
    <w:p w14:paraId="5A375B6C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Съгласно Закона за бюджета на Република България за 2026 г. през настоящата година автоматичният механизъм за определяне на МРЗ за страната няма да се прилага, а Министерският съвет следва да приеме нов механизъм, по предложение на заместник министър-председателя и министър на финансите и на министъра на труда и социалната политика. </w:t>
      </w:r>
    </w:p>
    <w:p w14:paraId="18BB3227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>В тази връзка се налага своевременно да се предприемат мерки за промяна на предвидения в чл. 244, ал. 2 от КТ механизъм за определяне на МРЗ. За гарантиране на правата на работниците и</w:t>
      </w:r>
      <w:r w:rsidRPr="009026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54B7F">
        <w:rPr>
          <w:rFonts w:ascii="Times New Roman" w:hAnsi="Times New Roman"/>
          <w:color w:val="000000"/>
          <w:sz w:val="28"/>
          <w:szCs w:val="28"/>
        </w:rPr>
        <w:t>служителите с оглед осигуряване на сигурност и предвидимост по отношение на доходите, размерът на МРЗ за страната следва да се определя като се вземат предвид критерии, с които се отчитат социални и икономически показатели. Освен това е необходимо да се гарантира адекватността на МРЗ, като се предвидят подходящи референтни стойности и период за редовна оценка на нейната адекватност. Своевременното приемане на промени в чл. 244 от КТ, с предвиден срок за провеждане на обществени консултации от 14 дни, в съответствие с чл. 26, ал. 4, изр. 2 от Закона за нормативните актове, ще позволи на правителството да определи адекватен размер на МРЗ за следващата година, в съответствие с обосновани социално-икономически критерии. Освен това ще се осигури предвидимост както при изготвянето на държавния бюджет за 2027 г. и средносрочната бюджетна прогноза, така и при планиране и прогнозиране на стопанската дейност в икономиката.</w:t>
      </w:r>
    </w:p>
    <w:p w14:paraId="607FB591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Необходимостта от промяна на действащия механизъм за определяне на МРЗ се обуславя и от ангажиментите, които има Република България по </w:t>
      </w:r>
      <w:r w:rsidRPr="00254B7F">
        <w:rPr>
          <w:rFonts w:ascii="Times New Roman" w:hAnsi="Times New Roman"/>
          <w:sz w:val="28"/>
          <w:szCs w:val="28"/>
        </w:rPr>
        <w:t xml:space="preserve">Конвенция № 131 на Международната организация на труда за определяне на минималната работна заплата (Конвенция № 131) и Директива (ЕС) 2022/2041 </w:t>
      </w:r>
      <w:r w:rsidRPr="00254B7F">
        <w:rPr>
          <w:rFonts w:ascii="Times New Roman" w:hAnsi="Times New Roman"/>
          <w:sz w:val="28"/>
          <w:szCs w:val="28"/>
        </w:rPr>
        <w:lastRenderedPageBreak/>
        <w:t>относно адекватните минимални работни заплати в Европейския съюз (Директивата). Като държава, ратифицирала Конвенция № 131, е необходимо при</w:t>
      </w:r>
      <w:r w:rsidRPr="009026CB">
        <w:rPr>
          <w:rFonts w:ascii="Times New Roman" w:hAnsi="Times New Roman"/>
          <w:b/>
          <w:sz w:val="28"/>
          <w:szCs w:val="28"/>
        </w:rPr>
        <w:t xml:space="preserve"> </w:t>
      </w:r>
      <w:r w:rsidRPr="00254B7F">
        <w:rPr>
          <w:rFonts w:ascii="Times New Roman" w:hAnsi="Times New Roman"/>
          <w:sz w:val="28"/>
          <w:szCs w:val="28"/>
        </w:rPr>
        <w:t xml:space="preserve">определяне размера на МРЗ да се отчита националната практика и условия, както се вземат предвид </w:t>
      </w:r>
      <w:r w:rsidRPr="00254B7F">
        <w:rPr>
          <w:rFonts w:ascii="Times New Roman" w:hAnsi="Times New Roman"/>
          <w:color w:val="000000"/>
          <w:sz w:val="28"/>
          <w:szCs w:val="28"/>
        </w:rPr>
        <w:t xml:space="preserve">социални и икономически показатели. В съответствие с изискванията на </w:t>
      </w:r>
      <w:r w:rsidRPr="00254B7F">
        <w:rPr>
          <w:rFonts w:ascii="Times New Roman" w:hAnsi="Times New Roman"/>
          <w:sz w:val="28"/>
          <w:szCs w:val="28"/>
        </w:rPr>
        <w:t>Директивата</w:t>
      </w:r>
      <w:r w:rsidRPr="00254B7F">
        <w:rPr>
          <w:rFonts w:ascii="Times New Roman" w:hAnsi="Times New Roman"/>
          <w:color w:val="000000"/>
          <w:sz w:val="28"/>
          <w:szCs w:val="28"/>
        </w:rPr>
        <w:t xml:space="preserve"> и Конвенцията е необходимо да се усъвършенства уредбата в чл. 244 от КТ, за да </w:t>
      </w:r>
      <w:r w:rsidRPr="00254B7F">
        <w:rPr>
          <w:rFonts w:ascii="Times New Roman" w:hAnsi="Times New Roman"/>
          <w:sz w:val="28"/>
          <w:szCs w:val="28"/>
        </w:rPr>
        <w:t>се постигне по-добър стандарт на живот и да се намали рискът от бедност сред работещите чрез осигуряване на адекватна МРЗ.</w:t>
      </w:r>
    </w:p>
    <w:p w14:paraId="1E656CBF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b/>
          <w:color w:val="000000"/>
          <w:sz w:val="28"/>
          <w:szCs w:val="28"/>
          <w:lang w:eastAsia="en-GB"/>
        </w:rPr>
        <w:t xml:space="preserve">2. Цели, </w:t>
      </w:r>
      <w:r w:rsidRPr="00254B7F">
        <w:rPr>
          <w:rFonts w:ascii="Times New Roman" w:hAnsi="Times New Roman"/>
          <w:b/>
          <w:sz w:val="28"/>
          <w:szCs w:val="28"/>
          <w:lang w:eastAsia="en-GB"/>
        </w:rPr>
        <w:t>които се поставят с приемането на законопроекта</w:t>
      </w:r>
    </w:p>
    <w:p w14:paraId="34099289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С предложените изменения и допълнения в Кодекса на труда се цели да се </w:t>
      </w:r>
      <w:r w:rsidRPr="00254B7F">
        <w:rPr>
          <w:rFonts w:ascii="Times New Roman" w:hAnsi="Times New Roman"/>
          <w:sz w:val="28"/>
          <w:szCs w:val="28"/>
        </w:rPr>
        <w:t>регламентира нов начин за определяне на</w:t>
      </w:r>
      <w:r w:rsidRPr="009026CB">
        <w:rPr>
          <w:rFonts w:ascii="Times New Roman" w:hAnsi="Times New Roman"/>
          <w:sz w:val="28"/>
          <w:szCs w:val="28"/>
        </w:rPr>
        <w:t xml:space="preserve"> МРЗ</w:t>
      </w:r>
      <w:r w:rsidRPr="00254B7F">
        <w:rPr>
          <w:rFonts w:ascii="Times New Roman" w:hAnsi="Times New Roman"/>
          <w:color w:val="000000"/>
          <w:sz w:val="28"/>
          <w:szCs w:val="28"/>
        </w:rPr>
        <w:t xml:space="preserve"> за страната, който да осигури адекватност на нейния размер.</w:t>
      </w:r>
      <w:r w:rsidRPr="009026CB">
        <w:rPr>
          <w:rFonts w:ascii="Times New Roman" w:hAnsi="Times New Roman"/>
          <w:sz w:val="28"/>
          <w:szCs w:val="28"/>
        </w:rPr>
        <w:t xml:space="preserve"> </w:t>
      </w:r>
      <w:r w:rsidRPr="00254B7F">
        <w:rPr>
          <w:rFonts w:ascii="Times New Roman" w:hAnsi="Times New Roman"/>
          <w:color w:val="000000"/>
          <w:sz w:val="28"/>
          <w:szCs w:val="28"/>
        </w:rPr>
        <w:t>По този начин ще се постигне и по-добър баланс между социалните и икономическите функции на МРЗ с оглед на осигуряване както на защитата на най-уязвимите работещи, така и намаляване на рисковете за дейността на предприятията.</w:t>
      </w:r>
    </w:p>
    <w:p w14:paraId="6E475F9E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>Конкретните предложения за изпълнение на поставената цел са:</w:t>
      </w:r>
    </w:p>
    <w:p w14:paraId="432C2609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- Промяна на действащата ал. 2 на чл. 244 от КТ с оглед на определяне на социални и икономически критерии, които да се вземат предвид при определяне на МРЗ за страната. Предвижда се тези критерии да са: покупателна способност на минималната работна заплата за страната, като се взема предвид издръжката на живот; общо равнище на работните заплати и тяхното разпределение; темп на растеж на работните заплати; дългосрочни равнища на производителността на труда в страната. Критериите са в съответствие с чл. 3 от Конвенция № 131. Определянето на подходящи и балансирани критерии, съгласно които да се определя МРЗ за страната, е гаранция за нейната адекватност и за това, че определеният размер е в съответствие със социалните и икономическите функции, които има </w:t>
      </w:r>
      <w:r w:rsidRPr="00254B7F">
        <w:rPr>
          <w:rFonts w:ascii="Times New Roman" w:hAnsi="Times New Roman"/>
          <w:color w:val="000000"/>
          <w:sz w:val="28"/>
          <w:szCs w:val="28"/>
        </w:rPr>
        <w:lastRenderedPageBreak/>
        <w:t>установеният в законодателството минимален размер на трудовото възнаграждение.</w:t>
      </w:r>
    </w:p>
    <w:p w14:paraId="0FBC0801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- Въвежда се задължение за </w:t>
      </w:r>
      <w:r w:rsidRPr="00254B7F">
        <w:rPr>
          <w:rFonts w:ascii="Times New Roman" w:hAnsi="Times New Roman"/>
          <w:sz w:val="28"/>
          <w:szCs w:val="28"/>
        </w:rPr>
        <w:t xml:space="preserve">извършване на оценка на адекватността на МРЗ и референтни стойности, съгласно които да се извършва оценката. Предвижда се на три години да се извършва оценка на адекватността на МРЗ с участието на социалните партньори. В съответствие с изискванията на Директивата са предложени две референтни стойности за оценка на адекватността на МРЗ - 60 на сто от брутната </w:t>
      </w:r>
      <w:proofErr w:type="spellStart"/>
      <w:r w:rsidRPr="00254B7F">
        <w:rPr>
          <w:rFonts w:ascii="Times New Roman" w:hAnsi="Times New Roman"/>
          <w:sz w:val="28"/>
          <w:szCs w:val="28"/>
        </w:rPr>
        <w:t>медианна</w:t>
      </w:r>
      <w:proofErr w:type="spellEnd"/>
      <w:r w:rsidRPr="00254B7F">
        <w:rPr>
          <w:rFonts w:ascii="Times New Roman" w:hAnsi="Times New Roman"/>
          <w:sz w:val="28"/>
          <w:szCs w:val="28"/>
        </w:rPr>
        <w:t xml:space="preserve"> работна заплата и размера на издръжката на живота.</w:t>
      </w:r>
    </w:p>
    <w:p w14:paraId="3B8BD4F2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>- С разпоредбата на новата ал. 5 на § 1 регламентира изискване в наредба на Министерския съвет да се определят редът и начинът за определяне на минималната работна заплата, за оценката на нейната адекватност, както и за сътрудничеството и консултациите със социалните партньори по този въпрос. По този начин със законопроекта се създава правно основание за приемане на съответния подзаконов нормативен акт, в който да се регламентират  количествените показатели във всеки един от критериите, източникът на данните и начинът на участие на социалните партньори в съответствие с изискванията на чл. 7 от Директивата.</w:t>
      </w:r>
    </w:p>
    <w:p w14:paraId="7E7525CC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254B7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254B7F">
        <w:rPr>
          <w:rFonts w:ascii="Times New Roman" w:hAnsi="Times New Roman"/>
          <w:bCs/>
          <w:sz w:val="28"/>
          <w:szCs w:val="28"/>
        </w:rPr>
        <w:t>Въвежда се дефиниция за понятието „</w:t>
      </w:r>
      <w:r w:rsidRPr="00254B7F">
        <w:rPr>
          <w:rFonts w:ascii="Times New Roman" w:hAnsi="Times New Roman"/>
          <w:sz w:val="28"/>
          <w:szCs w:val="28"/>
        </w:rPr>
        <w:t>минимална работна заплата“, като най-ниското основно месечно трудово възнаграждение за отработено време или според изработеното. Целта е да се осигури правна сигурност при прилагане на уредбата за работната заплата.</w:t>
      </w:r>
    </w:p>
    <w:p w14:paraId="6F37F3CD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254B7F">
        <w:rPr>
          <w:rFonts w:ascii="Times New Roman" w:hAnsi="Times New Roman"/>
          <w:sz w:val="28"/>
          <w:szCs w:val="28"/>
        </w:rPr>
        <w:t xml:space="preserve">- Във връзка с определяне на размера на издръжката на живота като референтна стойност с § 3 от законопроекта се възлага на председателя на Националния статистически институт да утвърди ред и начин за определяне и публикуване на данните за издръжката на живот в 9-месечен срок от влизането </w:t>
      </w:r>
      <w:r w:rsidRPr="00254B7F">
        <w:rPr>
          <w:rFonts w:ascii="Times New Roman" w:hAnsi="Times New Roman"/>
          <w:sz w:val="28"/>
          <w:szCs w:val="28"/>
        </w:rPr>
        <w:lastRenderedPageBreak/>
        <w:t>в сила на закона. По този начин ще е възможно оценката на адекватността да се извършва въз основа на официални статистически данни.</w:t>
      </w:r>
    </w:p>
    <w:p w14:paraId="5090E081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b/>
          <w:color w:val="000000"/>
          <w:sz w:val="28"/>
          <w:szCs w:val="28"/>
          <w:lang w:eastAsia="en-GB"/>
        </w:rPr>
        <w:t>3. Финансови и други средства, необходими за прилагането на новата уредба</w:t>
      </w:r>
    </w:p>
    <w:p w14:paraId="61019764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 xml:space="preserve">Приемането на предложенията не изисква допълнителни финансови средства от държавния бюджет. Мярката ще има положителен ефект върху фискалната стабилност, тъй като ще ограничи необоснованото от социално-икономическа гледна точка нарастване на разходите за заплати, свързани с МРЗ. </w:t>
      </w:r>
    </w:p>
    <w:p w14:paraId="1519D210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b/>
          <w:color w:val="000000"/>
          <w:sz w:val="28"/>
          <w:szCs w:val="28"/>
          <w:lang w:eastAsia="en-GB"/>
        </w:rPr>
        <w:t>4. Очаквани резултати от прилагането на законопроекта</w:t>
      </w:r>
    </w:p>
    <w:p w14:paraId="1A9C7786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С приемането на промените в Кодекса на труда се очаква:</w:t>
      </w:r>
    </w:p>
    <w:p w14:paraId="7FA1FCA2" w14:textId="77777777" w:rsidR="006A3CA0" w:rsidRPr="009026CB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- гарантиране на адекватни доходи на работещите на минимална работна заплата;</w:t>
      </w:r>
    </w:p>
    <w:p w14:paraId="0465D275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- осигуряване на стабилност и предвидимост при планиране на дейността на предприятията и на бюджета на държавата;</w:t>
      </w:r>
    </w:p>
    <w:p w14:paraId="514792DE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- намаляване на инфлационния натиск, породен от необосновано повишаване на размера на МРЗ.</w:t>
      </w:r>
    </w:p>
    <w:p w14:paraId="41DA299D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b/>
          <w:sz w:val="28"/>
          <w:szCs w:val="28"/>
          <w:lang w:eastAsia="en-GB"/>
        </w:rPr>
      </w:pPr>
      <w:r w:rsidRPr="00254B7F">
        <w:rPr>
          <w:rFonts w:ascii="Times New Roman" w:hAnsi="Times New Roman"/>
          <w:b/>
          <w:sz w:val="28"/>
          <w:szCs w:val="28"/>
          <w:lang w:eastAsia="en-GB"/>
        </w:rPr>
        <w:t>5. Анализ за съответствие с правото на Европейския съюз</w:t>
      </w:r>
    </w:p>
    <w:p w14:paraId="697B3324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С предложените промени се осигурява съответствие на националното законодателство с изискванията на чл. 5 и 7 от </w:t>
      </w:r>
      <w:r w:rsidRPr="00254B7F">
        <w:rPr>
          <w:rFonts w:ascii="Times New Roman" w:hAnsi="Times New Roman"/>
          <w:sz w:val="28"/>
          <w:szCs w:val="28"/>
          <w:lang w:eastAsia="en-GB"/>
        </w:rPr>
        <w:t>Директива (ЕС) 2022/2041.</w:t>
      </w:r>
    </w:p>
    <w:p w14:paraId="3665D461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Разпоредбата на чл. 5 от </w:t>
      </w:r>
      <w:r w:rsidRPr="00254B7F">
        <w:rPr>
          <w:rFonts w:ascii="Times New Roman" w:hAnsi="Times New Roman"/>
          <w:sz w:val="28"/>
          <w:szCs w:val="28"/>
          <w:lang w:eastAsia="en-GB"/>
        </w:rPr>
        <w:t xml:space="preserve">Директива (ЕС) 2022/2041 относно адекватните минимални работни заплати в Европейския съюз </w:t>
      </w: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 xml:space="preserve">предвижда задължение за държавите членки, в които има законоустановени минимални работни заплати, да установят необходимите процедури за определяне и актуализиране на законоустановените минимални работни заплати. Тези процедури следва да се ръководят от критерии, регламентирани в съответното </w:t>
      </w: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lastRenderedPageBreak/>
        <w:t xml:space="preserve">национално право. Държавите членки следва да използват ориентировъчни референтни стойности, от които да се ръководят при своята оценка на адекватността на законоустановените минимални работни заплати. </w:t>
      </w:r>
    </w:p>
    <w:p w14:paraId="7B916114" w14:textId="77777777" w:rsidR="006A3CA0" w:rsidRPr="00254B7F" w:rsidRDefault="006A3CA0" w:rsidP="006A3CA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254B7F">
        <w:rPr>
          <w:rFonts w:ascii="Times New Roman" w:hAnsi="Times New Roman"/>
          <w:color w:val="000000"/>
          <w:sz w:val="28"/>
          <w:szCs w:val="28"/>
          <w:lang w:eastAsia="en-GB"/>
        </w:rPr>
        <w:t>В чл. 7 от Директива (ЕС) 2022/2041 е предвидено и задължение на държавите членки да създадат условия за участие на социалните партньори при определянето и актуализирането на законоустановените минимални работни заплати. Участието на социалните партньори следва да се гарантира при: избора и прилагането на критериите за определяне на равнището на законоустановената минимална работна заплата и за установяване на формула за автоматично индексиране и за нейното изменение, ако такава формула вече съществува; избора и прилагането на ориентировъчните референтни стойности за оценка на адекватността на законоустановените минимални работни заплати; актуализациите на законоустановените минимални работни заплати.</w:t>
      </w:r>
    </w:p>
    <w:p w14:paraId="13464649" w14:textId="77777777" w:rsidR="006A3CA0" w:rsidRPr="00254B7F" w:rsidRDefault="006A3CA0" w:rsidP="006A3CA0">
      <w:pPr>
        <w:tabs>
          <w:tab w:val="left" w:pos="709"/>
          <w:tab w:val="left" w:pos="851"/>
        </w:tabs>
        <w:spacing w:before="120" w:line="288" w:lineRule="auto"/>
        <w:ind w:firstLine="1134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14:paraId="0A03287A" w14:textId="77777777" w:rsidR="006A3CA0" w:rsidRPr="00254B7F" w:rsidRDefault="006A3CA0" w:rsidP="006A3CA0">
      <w:pPr>
        <w:tabs>
          <w:tab w:val="left" w:pos="709"/>
          <w:tab w:val="left" w:pos="851"/>
        </w:tabs>
        <w:spacing w:before="120" w:line="288" w:lineRule="auto"/>
        <w:ind w:firstLine="1134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14:paraId="36348E83" w14:textId="77777777" w:rsidR="006A3CA0" w:rsidRPr="00254B7F" w:rsidRDefault="006A3CA0" w:rsidP="006A3CA0">
      <w:pPr>
        <w:tabs>
          <w:tab w:val="left" w:pos="709"/>
          <w:tab w:val="left" w:pos="851"/>
        </w:tabs>
        <w:spacing w:before="120" w:line="288" w:lineRule="auto"/>
        <w:ind w:firstLine="1134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14:paraId="194C084A" w14:textId="77777777" w:rsidR="006A3CA0" w:rsidRPr="00254B7F" w:rsidRDefault="006A3CA0" w:rsidP="006A3CA0">
      <w:pPr>
        <w:tabs>
          <w:tab w:val="left" w:pos="709"/>
          <w:tab w:val="left" w:pos="851"/>
        </w:tabs>
        <w:spacing w:before="120" w:line="360" w:lineRule="auto"/>
        <w:ind w:firstLine="1134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254B7F">
        <w:rPr>
          <w:rFonts w:ascii="Times New Roman" w:hAnsi="Times New Roman"/>
          <w:b/>
          <w:sz w:val="26"/>
          <w:szCs w:val="26"/>
        </w:rPr>
        <w:t>ГЪЛЪБ ДОНЕВ</w:t>
      </w:r>
    </w:p>
    <w:p w14:paraId="14E6CA6A" w14:textId="77777777" w:rsidR="006A3CA0" w:rsidRPr="009026CB" w:rsidRDefault="006A3CA0" w:rsidP="006A3CA0">
      <w:pPr>
        <w:tabs>
          <w:tab w:val="left" w:pos="1790"/>
        </w:tabs>
        <w:spacing w:line="360" w:lineRule="auto"/>
        <w:ind w:left="1134"/>
        <w:rPr>
          <w:rFonts w:ascii="Times New Roman" w:hAnsi="Times New Roman"/>
          <w:b/>
          <w:sz w:val="26"/>
          <w:szCs w:val="26"/>
        </w:rPr>
      </w:pPr>
      <w:bookmarkStart w:id="0" w:name="_Hlk92799938"/>
      <w:r w:rsidRPr="00254B7F">
        <w:rPr>
          <w:rFonts w:ascii="Times New Roman" w:hAnsi="Times New Roman"/>
          <w:b/>
          <w:sz w:val="26"/>
          <w:szCs w:val="26"/>
        </w:rPr>
        <w:t xml:space="preserve">ЗА </w:t>
      </w:r>
      <w:r w:rsidRPr="009026CB">
        <w:rPr>
          <w:rFonts w:ascii="Times New Roman" w:hAnsi="Times New Roman"/>
          <w:b/>
          <w:sz w:val="26"/>
          <w:szCs w:val="26"/>
        </w:rPr>
        <w:t>МИНИСТЪР-ПРЕДСЕДАТЕЛ:</w:t>
      </w:r>
    </w:p>
    <w:bookmarkEnd w:id="0"/>
    <w:p w14:paraId="74EFFB94" w14:textId="77777777" w:rsidR="006A3CA0" w:rsidRPr="00254B7F" w:rsidRDefault="006A3CA0" w:rsidP="006A3CA0">
      <w:pPr>
        <w:tabs>
          <w:tab w:val="left" w:pos="1790"/>
          <w:tab w:val="left" w:pos="4678"/>
          <w:tab w:val="left" w:pos="5245"/>
        </w:tabs>
        <w:jc w:val="right"/>
        <w:rPr>
          <w:rFonts w:ascii="Times New Roman" w:hAnsi="Times New Roman"/>
          <w:sz w:val="26"/>
          <w:szCs w:val="26"/>
          <w:lang w:val="en-GB"/>
        </w:rPr>
      </w:pPr>
      <w:r w:rsidRPr="00254B7F">
        <w:rPr>
          <w:rFonts w:ascii="Times New Roman" w:hAnsi="Times New Roman"/>
          <w:sz w:val="26"/>
          <w:szCs w:val="26"/>
          <w:lang w:val="en-GB"/>
        </w:rPr>
        <w:pict w14:anchorId="0CDB2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1.25pt;height:95.25pt">
            <v:imagedata r:id="rId4" o:title=""/>
            <o:lock v:ext="edit" ungrouping="t" rotation="t" cropping="t" verticies="t" text="t" grouping="t"/>
            <o:signatureline v:ext="edit" id="{EF61EB5B-2924-41CC-BA61-E24F7AA35ED2}" provid="{00000000-0000-0000-0000-000000000000}" issignatureline="t"/>
          </v:shape>
        </w:pict>
      </w:r>
    </w:p>
    <w:p w14:paraId="35934A03" w14:textId="77777777" w:rsidR="006A3CA0" w:rsidRDefault="006A3CA0" w:rsidP="006A3CA0">
      <w:pPr>
        <w:ind w:firstLine="4962"/>
        <w:jc w:val="both"/>
        <w:rPr>
          <w:rFonts w:ascii="Times New Roman" w:hAnsi="Times New Roman"/>
          <w:b/>
          <w:sz w:val="26"/>
        </w:rPr>
      </w:pPr>
    </w:p>
    <w:p w14:paraId="0EF30109" w14:textId="77777777" w:rsidR="00F878C4" w:rsidRDefault="00F878C4"/>
    <w:sectPr w:rsidR="00F87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A0"/>
    <w:rsid w:val="005122A6"/>
    <w:rsid w:val="006A3CA0"/>
    <w:rsid w:val="00AF7599"/>
    <w:rsid w:val="00D811EC"/>
    <w:rsid w:val="00DC0E8A"/>
    <w:rsid w:val="00F8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1ED4"/>
  <w15:chartTrackingRefBased/>
  <w15:docId w15:val="{BD6E0ED3-FE87-44A2-9B8F-612308E3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CA0"/>
    <w:pPr>
      <w:spacing w:after="0" w:line="240" w:lineRule="auto"/>
    </w:pPr>
    <w:rPr>
      <w:rFonts w:ascii="HebarU" w:eastAsia="Times New Roman" w:hAnsi="HebarU" w:cs="Times New Roman"/>
      <w:sz w:val="24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1E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link w:val="Heading2Char"/>
    <w:uiPriority w:val="9"/>
    <w:qFormat/>
    <w:rsid w:val="00D811E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D811E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CA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CA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CA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CA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CA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CA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1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11E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11EC"/>
    <w:rPr>
      <w:b/>
      <w:bCs/>
    </w:rPr>
  </w:style>
  <w:style w:type="paragraph" w:styleId="ListParagraph">
    <w:name w:val="List Paragraph"/>
    <w:basedOn w:val="Normal"/>
    <w:uiPriority w:val="34"/>
    <w:qFormat/>
    <w:rsid w:val="00D811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C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C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C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A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CA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A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CA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A3CA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A3C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C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C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1402</Words>
  <Characters>7993</Characters>
  <Application>Microsoft Office Word</Application>
  <DocSecurity>0</DocSecurity>
  <Lines>66</Lines>
  <Paragraphs>18</Paragraphs>
  <ScaleCrop>false</ScaleCrop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Mermerski</dc:creator>
  <cp:keywords/>
  <dc:description/>
  <cp:lastModifiedBy>Marin Mermerski</cp:lastModifiedBy>
  <cp:revision>1</cp:revision>
  <dcterms:created xsi:type="dcterms:W3CDTF">2026-09-28T14:30:00Z</dcterms:created>
  <dcterms:modified xsi:type="dcterms:W3CDTF">2026-09-28T14:30:00Z</dcterms:modified>
</cp:coreProperties>
</file>