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D222" w14:textId="3E404F08" w:rsidR="001C1FE0" w:rsidRPr="001C1FE0" w:rsidRDefault="001C1FE0" w:rsidP="001C1FE0">
      <w:pPr>
        <w:rPr>
          <w:lang w:val="bg-BG"/>
        </w:rPr>
      </w:pPr>
      <w:r w:rsidRPr="001C1FE0">
        <w:rPr>
          <w:lang w:val="bg-BG"/>
        </w:rPr>
        <w:t xml:space="preserve">От материала „ </w:t>
      </w:r>
      <w:r w:rsidRPr="001C1FE0">
        <w:rPr>
          <w:b/>
          <w:bCs/>
          <w:lang w:val="bg-BG"/>
        </w:rPr>
        <w:t>Преглед на промените в Кодекса на труда, направени със Закона за държавния бюджет на Република България за 2026 г. (обн. ДВ, бр. 69 от 31 юли 2026 г.)</w:t>
      </w:r>
      <w:r w:rsidRPr="001C1FE0">
        <w:rPr>
          <w:b/>
          <w:bCs/>
          <w:lang w:val="bg-BG"/>
        </w:rPr>
        <w:t xml:space="preserve"> </w:t>
      </w:r>
      <w:r w:rsidRPr="001C1FE0">
        <w:rPr>
          <w:i/>
          <w:iCs/>
          <w:lang w:val="bg-BG"/>
        </w:rPr>
        <w:t>Михаил Илиев, д-р по право, експерт в МТСП</w:t>
      </w:r>
      <w:r w:rsidRPr="001C1FE0">
        <w:rPr>
          <w:i/>
          <w:iCs/>
          <w:lang w:val="bg-BG"/>
        </w:rPr>
        <w:t>, бр. 57 от 2026 г на е - сп. „%Труд и осигуровки ТИТА“</w:t>
      </w:r>
    </w:p>
    <w:p w14:paraId="0C8129D6" w14:textId="2E2D0AB6" w:rsidR="001C1FE0" w:rsidRPr="001C1FE0" w:rsidRDefault="001C1FE0" w:rsidP="001C1FE0">
      <w:pPr>
        <w:rPr>
          <w:lang w:val="bg-BG"/>
        </w:rPr>
      </w:pPr>
      <w:r w:rsidRPr="001C1FE0">
        <w:rPr>
          <w:lang w:val="bg-BG"/>
        </w:rPr>
        <w:t> </w:t>
      </w:r>
      <w:r w:rsidRPr="001C1FE0">
        <w:rPr>
          <w:lang w:val="bg-BG"/>
        </w:rPr>
        <w:t>……………………………..</w:t>
      </w:r>
    </w:p>
    <w:p w14:paraId="63BE9122" w14:textId="522EB528" w:rsidR="001C1FE0" w:rsidRPr="001C1FE0" w:rsidRDefault="001C1FE0" w:rsidP="001C1FE0">
      <w:pPr>
        <w:rPr>
          <w:lang w:val="bg-BG"/>
        </w:rPr>
      </w:pPr>
      <w:r w:rsidRPr="001C1FE0">
        <w:rPr>
          <w:lang w:val="bg-BG"/>
        </w:rPr>
        <w:t xml:space="preserve">Съгласно на </w:t>
      </w:r>
      <w:hyperlink r:id="rId5" w:anchor="kt_pzr_69_48" w:history="1">
        <w:r w:rsidRPr="001C1FE0">
          <w:rPr>
            <w:rStyle w:val="Hyperlink"/>
            <w:lang w:val="bg-BG"/>
          </w:rPr>
          <w:t>§ 48, т. 3</w:t>
        </w:r>
      </w:hyperlink>
      <w:r w:rsidRPr="001C1FE0">
        <w:rPr>
          <w:lang w:val="bg-BG"/>
        </w:rPr>
        <w:t xml:space="preserve"> ПЗР на ЗДБРБ-2026 г. този нов начин на изчисляване влиза в сила от 1 септември 2026 г., но:</w:t>
      </w:r>
    </w:p>
    <w:p w14:paraId="20D2AA0F" w14:textId="77777777" w:rsidR="001C1FE0" w:rsidRPr="001C1FE0" w:rsidRDefault="001C1FE0" w:rsidP="001C1FE0">
      <w:pPr>
        <w:rPr>
          <w:lang w:val="bg-BG"/>
        </w:rPr>
      </w:pPr>
      <w:r w:rsidRPr="001C1FE0">
        <w:rPr>
          <w:lang w:val="bg-BG"/>
        </w:rPr>
        <w:t> </w:t>
      </w:r>
    </w:p>
    <w:p w14:paraId="4CD2B9B8" w14:textId="77777777" w:rsidR="001C1FE0" w:rsidRPr="001C1FE0" w:rsidRDefault="001C1FE0" w:rsidP="001C1FE0">
      <w:pPr>
        <w:numPr>
          <w:ilvl w:val="0"/>
          <w:numId w:val="1"/>
        </w:numPr>
        <w:rPr>
          <w:lang w:val="bg-BG"/>
        </w:rPr>
      </w:pPr>
      <w:r w:rsidRPr="001C1FE0">
        <w:rPr>
          <w:lang w:val="bg-BG"/>
        </w:rPr>
        <w:t xml:space="preserve">по силата на </w:t>
      </w:r>
      <w:hyperlink r:id="rId6" w:anchor="kt_pzr_69_12" w:history="1">
        <w:r w:rsidRPr="001C1FE0">
          <w:rPr>
            <w:rStyle w:val="Hyperlink"/>
            <w:lang w:val="bg-BG"/>
          </w:rPr>
          <w:t>§ 12</w:t>
        </w:r>
      </w:hyperlink>
      <w:r w:rsidRPr="001C1FE0">
        <w:rPr>
          <w:lang w:val="bg-BG"/>
        </w:rPr>
        <w:t xml:space="preserve"> ПЗР на ЗДБРБ-2026 г., който предвижда до 31 декември 2026 г. трудовият стаж и съответните права по Кодекса на труда да се определят по досегашния ред,</w:t>
      </w:r>
    </w:p>
    <w:p w14:paraId="4B2BB17E" w14:textId="77777777" w:rsidR="001C1FE0" w:rsidRPr="001C1FE0" w:rsidRDefault="001C1FE0" w:rsidP="001C1FE0">
      <w:pPr>
        <w:numPr>
          <w:ilvl w:val="0"/>
          <w:numId w:val="1"/>
        </w:numPr>
        <w:rPr>
          <w:lang w:val="bg-BG"/>
        </w:rPr>
      </w:pPr>
      <w:r w:rsidRPr="001C1FE0">
        <w:rPr>
          <w:b/>
          <w:bCs/>
          <w:lang w:val="bg-BG"/>
        </w:rPr>
        <w:t>неговото прилагане ще започне за трудовия стаж, придобит</w:t>
      </w:r>
      <w:r w:rsidRPr="001C1FE0">
        <w:rPr>
          <w:lang w:val="bg-BG"/>
        </w:rPr>
        <w:t xml:space="preserve"> </w:t>
      </w:r>
      <w:r w:rsidRPr="001C1FE0">
        <w:rPr>
          <w:b/>
          <w:bCs/>
          <w:i/>
          <w:iCs/>
          <w:u w:val="single"/>
          <w:lang w:val="bg-BG"/>
        </w:rPr>
        <w:t>от 1 януари 2027 г. нататък</w:t>
      </w:r>
      <w:r w:rsidRPr="001C1FE0">
        <w:rPr>
          <w:b/>
          <w:bCs/>
          <w:lang w:val="bg-BG"/>
        </w:rPr>
        <w:t>.</w:t>
      </w:r>
    </w:p>
    <w:p w14:paraId="2A53F667" w14:textId="48FE9FDD" w:rsidR="00F878C4" w:rsidRPr="001C1FE0" w:rsidRDefault="001C1FE0">
      <w:pPr>
        <w:rPr>
          <w:lang w:val="bg-BG"/>
        </w:rPr>
      </w:pPr>
      <w:r w:rsidRPr="001C1FE0">
        <w:rPr>
          <w:lang w:val="bg-BG"/>
        </w:rPr>
        <w:t>……………………………….</w:t>
      </w:r>
    </w:p>
    <w:sectPr w:rsidR="00F878C4" w:rsidRPr="001C1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6296B"/>
    <w:multiLevelType w:val="multilevel"/>
    <w:tmpl w:val="585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19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0"/>
    <w:rsid w:val="001C1FE0"/>
    <w:rsid w:val="007D678D"/>
    <w:rsid w:val="00AF7599"/>
    <w:rsid w:val="00D811EC"/>
    <w:rsid w:val="00DC0E8A"/>
    <w:rsid w:val="00F8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245D"/>
  <w15:chartTrackingRefBased/>
  <w15:docId w15:val="{B8FDE3ED-5073-4A19-922F-B3FB277D0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1EC"/>
  </w:style>
  <w:style w:type="paragraph" w:styleId="Heading1">
    <w:name w:val="heading 1"/>
    <w:basedOn w:val="Normal"/>
    <w:next w:val="Normal"/>
    <w:link w:val="Heading1Char"/>
    <w:uiPriority w:val="9"/>
    <w:qFormat/>
    <w:rsid w:val="00D811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811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1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F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1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11E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11EC"/>
    <w:rPr>
      <w:b/>
      <w:bCs/>
    </w:rPr>
  </w:style>
  <w:style w:type="paragraph" w:styleId="ListParagraph">
    <w:name w:val="List Paragraph"/>
    <w:basedOn w:val="Normal"/>
    <w:uiPriority w:val="34"/>
    <w:qFormat/>
    <w:rsid w:val="00D811E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C1F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F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FE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1F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F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F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1F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F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1FE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ita.bg/laws/61" TargetMode="External"/><Relationship Id="rId5" Type="http://schemas.openxmlformats.org/officeDocument/2006/relationships/hyperlink" Target="http://www.tita.bg/laws/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Mermerski</dc:creator>
  <cp:keywords/>
  <dc:description/>
  <cp:lastModifiedBy>Marin Mermerski</cp:lastModifiedBy>
  <cp:revision>1</cp:revision>
  <dcterms:created xsi:type="dcterms:W3CDTF">2026-10-23T06:25:00Z</dcterms:created>
  <dcterms:modified xsi:type="dcterms:W3CDTF">2026-10-23T06:27:00Z</dcterms:modified>
</cp:coreProperties>
</file>