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5CEF" w14:textId="77777777" w:rsidR="0049269F" w:rsidRPr="00464EE6" w:rsidRDefault="0049269F" w:rsidP="0049269F">
      <w:pPr>
        <w:jc w:val="center"/>
        <w:rPr>
          <w:rFonts w:ascii="Times New Roman" w:hAnsi="Times New Roman"/>
          <w:b/>
          <w:sz w:val="36"/>
          <w:szCs w:val="36"/>
        </w:rPr>
      </w:pPr>
      <w:r w:rsidRPr="00464EE6">
        <w:rPr>
          <w:rFonts w:ascii="Times New Roman" w:hAnsi="Times New Roman"/>
          <w:b/>
          <w:sz w:val="36"/>
          <w:szCs w:val="36"/>
        </w:rPr>
        <w:t>М  О  Т  И  В  И</w:t>
      </w:r>
    </w:p>
    <w:p w14:paraId="40A5EFDA" w14:textId="77777777" w:rsidR="0049269F" w:rsidRPr="00464EE6" w:rsidRDefault="0049269F" w:rsidP="0049269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EF4C6C" w14:textId="77777777" w:rsidR="0049269F" w:rsidRPr="00643EE1" w:rsidRDefault="0049269F" w:rsidP="0049269F">
      <w:pPr>
        <w:spacing w:line="288" w:lineRule="auto"/>
        <w:jc w:val="both"/>
        <w:rPr>
          <w:rFonts w:ascii="Arial" w:hAnsi="Arial" w:cs="Arial"/>
          <w:b/>
          <w:sz w:val="28"/>
          <w:szCs w:val="28"/>
        </w:rPr>
      </w:pPr>
      <w:r w:rsidRPr="00643EE1">
        <w:rPr>
          <w:rFonts w:ascii="Arial" w:hAnsi="Arial" w:cs="Arial"/>
          <w:b/>
          <w:smallCaps/>
          <w:sz w:val="28"/>
          <w:szCs w:val="28"/>
        </w:rPr>
        <w:t>към проекта на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4F5396FC" w14:textId="77777777" w:rsidR="0049269F" w:rsidRPr="00464EE6" w:rsidRDefault="0049269F" w:rsidP="0049269F">
      <w:pPr>
        <w:pStyle w:val="ListParagraph"/>
        <w:tabs>
          <w:tab w:val="left" w:pos="709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54D433E3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Съгласно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разпоредбата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чл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87,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ал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1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публичните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финанси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случай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началото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бюджетната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година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държавният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бъде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приет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Народното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събрание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приходите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събират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съответствие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действащите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а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извършването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разходите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предоставянето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трансфери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е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размер</w:t>
      </w:r>
      <w:proofErr w:type="spellEnd"/>
      <w:r>
        <w:rPr>
          <w:rFonts w:ascii="Arial" w:hAnsi="Arial" w:cs="Arial"/>
          <w:bCs/>
          <w:sz w:val="28"/>
          <w:szCs w:val="28"/>
        </w:rPr>
        <w:t>,</w:t>
      </w:r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по-голям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размера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същия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период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предходната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година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размера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постъпилите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приходи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помощи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дарения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отчитат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влезли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сила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актове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Народното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събрание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Министерския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съвет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които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предвиждат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допълнителни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или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намалени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средства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спазване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фискалните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правила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този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одобрените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Министерския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съвет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със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средносрочната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прогноза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фискални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цели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6BD76C58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Въпреки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разпоредбата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чл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87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публичните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финанси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урежда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основни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въпроси</w:t>
      </w:r>
      <w:proofErr w:type="spellEnd"/>
      <w:r>
        <w:rPr>
          <w:rFonts w:ascii="Arial" w:hAnsi="Arial" w:cs="Arial"/>
          <w:bCs/>
          <w:sz w:val="28"/>
          <w:szCs w:val="28"/>
        </w:rPr>
        <w:t>,</w:t>
      </w:r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свързани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със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събирането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приходите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извършването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разходите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предоставянето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трансфери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поемането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държавен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дълг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налице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някои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законови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празноти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които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следва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бъдат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уредени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със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426466DA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Едновременно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това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следва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отбележи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редица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препращат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към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държавния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определяне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размери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други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показатели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свързани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плащания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физически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юридически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лица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например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семейните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помощи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някои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данъчни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преференции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данъците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доходите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физическите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лица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други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</w:p>
    <w:p w14:paraId="20CA8ED7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Правителството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оставка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отчитайки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сложната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политическа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обстановка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страната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както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практическата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невъзможност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Народното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събрание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приеме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края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настоящата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година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изработи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предлагания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проект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събирането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приходи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извършването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разходи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през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приемането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държавния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Република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България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lastRenderedPageBreak/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държавното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обществено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осигуряване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Националната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здравноосигурителна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каса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г.,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който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осигури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яснота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предвидимост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относно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събирането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приходите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извършването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разходите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трансфери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15D69930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Със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законопроекта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предлага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правна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рамка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която</w:t>
      </w:r>
      <w:proofErr w:type="spellEnd"/>
      <w:r>
        <w:rPr>
          <w:rFonts w:ascii="Arial" w:hAnsi="Arial" w:cs="Arial"/>
          <w:bCs/>
          <w:sz w:val="28"/>
          <w:szCs w:val="28"/>
        </w:rPr>
        <w:t>,</w:t>
      </w:r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една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страна</w:t>
      </w:r>
      <w:proofErr w:type="spellEnd"/>
      <w:r>
        <w:rPr>
          <w:rFonts w:ascii="Arial" w:hAnsi="Arial" w:cs="Arial"/>
          <w:bCs/>
          <w:sz w:val="28"/>
          <w:szCs w:val="28"/>
        </w:rPr>
        <w:t>,</w:t>
      </w:r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осигури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безпроблемното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функциониране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държавата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общините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а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друга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страна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гарантира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правата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интереси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гражданите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предоставяйки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правна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сигурност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във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връзка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изплащането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възнаграждения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пенсии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социални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помощи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други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социални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плащания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ползване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данъчни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преференции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облекчения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както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извършването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други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плащания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Едновременно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това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предложеният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законопроект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осигурява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прилагането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специалните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закони</w:t>
      </w:r>
      <w:proofErr w:type="spellEnd"/>
      <w:r>
        <w:rPr>
          <w:rFonts w:ascii="Arial" w:hAnsi="Arial" w:cs="Arial"/>
          <w:bCs/>
          <w:sz w:val="28"/>
          <w:szCs w:val="28"/>
        </w:rPr>
        <w:t>,</w:t>
      </w:r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уреждащи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специфични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обществени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отношения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приемането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</w:t>
      </w:r>
    </w:p>
    <w:p w14:paraId="64BF7A10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Със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законопроекта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предлагат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ред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начин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извършване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разходи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тяхното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приоритизиране</w:t>
      </w:r>
      <w:proofErr w:type="spellEnd"/>
      <w:r>
        <w:rPr>
          <w:rFonts w:ascii="Arial" w:hAnsi="Arial" w:cs="Arial"/>
          <w:bCs/>
          <w:sz w:val="28"/>
          <w:szCs w:val="28"/>
        </w:rPr>
        <w:t>,</w:t>
      </w:r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случай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размерът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разходите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по-голям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размера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постъпилите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приходи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както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прилагане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принципа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съразмерност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20BA976C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Определя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редът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извършване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плащанията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общините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ДОО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НЗОК.</w:t>
      </w:r>
    </w:p>
    <w:p w14:paraId="314FDB62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485E26">
        <w:rPr>
          <w:rFonts w:ascii="Arial" w:hAnsi="Arial" w:cs="Arial"/>
          <w:bCs/>
          <w:sz w:val="28"/>
          <w:szCs w:val="28"/>
        </w:rPr>
        <w:t xml:space="preserve">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цел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осигуряване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финансиране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държавния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бюджет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Българското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национално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радио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Българската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национална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телевизия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запазване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досегашния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модел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финансиране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>
        <w:rPr>
          <w:rFonts w:ascii="Arial" w:hAnsi="Arial" w:cs="Arial"/>
          <w:bCs/>
          <w:sz w:val="28"/>
          <w:szCs w:val="28"/>
        </w:rPr>
        <w:t>П</w:t>
      </w:r>
      <w:r w:rsidRPr="00485E26">
        <w:rPr>
          <w:rFonts w:ascii="Arial" w:hAnsi="Arial" w:cs="Arial"/>
          <w:bCs/>
          <w:sz w:val="28"/>
          <w:szCs w:val="28"/>
        </w:rPr>
        <w:t>реходните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заключителните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разпоредби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предлагат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съответни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изменения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радиото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телевизията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5FA00D93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Предлагат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промени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социалните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услуги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този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регламентирано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домовете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медико-социални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грижи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(ДМСГД)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следва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бъдат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закрити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31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декември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2025 г.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Закриването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обаче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може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осъществи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само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след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извеждането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всички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настанени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тази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връзка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необходимо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бъде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продължен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срокът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функционирането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ДМСГД в </w:t>
      </w:r>
      <w:r>
        <w:rPr>
          <w:rFonts w:ascii="Arial" w:hAnsi="Arial" w:cs="Arial"/>
          <w:bCs/>
          <w:sz w:val="28"/>
          <w:szCs w:val="28"/>
        </w:rPr>
        <w:br/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гр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Варна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гр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Плевен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31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декември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2027 г.,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съответно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изграждане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необходимата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инфраструктура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извеждане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всички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настанени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Независимо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дирекции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„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Социално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Pr="00485E26">
        <w:rPr>
          <w:rFonts w:ascii="Arial" w:hAnsi="Arial" w:cs="Arial"/>
          <w:bCs/>
          <w:sz w:val="28"/>
          <w:szCs w:val="28"/>
        </w:rPr>
        <w:t>подпомагане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“ в</w:t>
      </w:r>
      <w:proofErr w:type="gram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страната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ежемесечно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предприемат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мерки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lastRenderedPageBreak/>
        <w:t>извеждане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домовете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към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31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декември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2025 г.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могло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бъде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осигурена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алтернативна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грижа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всички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настанени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към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настоящия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момент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тази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връзка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единственият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целесъобразен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вариант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грижа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децата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особено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децата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увреждания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потребност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постоянни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медицински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грижи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е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удължи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срока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функционирането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ДМСГД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гр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Варна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гр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Плевен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31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декември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2027 г.</w:t>
      </w:r>
    </w:p>
    <w:p w14:paraId="1A35AB7A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485E26">
        <w:rPr>
          <w:rFonts w:ascii="Arial" w:hAnsi="Arial" w:cs="Arial"/>
          <w:bCs/>
          <w:sz w:val="28"/>
          <w:szCs w:val="28"/>
        </w:rPr>
        <w:t xml:space="preserve">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предложените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промени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местните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данъци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такси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предвижда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когато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31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януари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общинските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съвети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одобрили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план-сметката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 и/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или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приели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съответните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актове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таксата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битови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отпадъци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определя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реда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който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определена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2025 г.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Предвижда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края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2028 г.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общините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предоставят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края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всяко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шестмесечие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Министерството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финансите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информация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отчетения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напредък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приемане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актовете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размера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таксата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18003074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485E26">
        <w:rPr>
          <w:rFonts w:ascii="Arial" w:hAnsi="Arial" w:cs="Arial"/>
          <w:bCs/>
          <w:sz w:val="28"/>
          <w:szCs w:val="28"/>
        </w:rPr>
        <w:t xml:space="preserve">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промените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доходите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физическите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лица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корпоративното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подоходно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облагане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предлага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освобождаването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данък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капиталовите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печалби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сделки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пазарите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растеж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бъде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превърнато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постоянна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мярка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5A4F9068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Това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изменение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ще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окаже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съществено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влияние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активността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интереса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инвеститорите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цяло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към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Пазара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растеж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частност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3963BD73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Настоящият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временен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режим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освобождаване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данък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капиталовите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печалби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създава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несигурност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инвеститорите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ограничава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ефективността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стимула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Освен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това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поражда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риск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неравнопоставеност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тъй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сделките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регулирания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пазар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вече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ползват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същото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данъчно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облекчение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Превръщането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освобождаването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сделки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ВЕАМ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постоянна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мярка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изравнило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условията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всички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участници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същото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време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ще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увеличи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интереса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индивидуалните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институци</w:t>
      </w:r>
      <w:r>
        <w:rPr>
          <w:rFonts w:ascii="Arial" w:hAnsi="Arial" w:cs="Arial"/>
          <w:bCs/>
          <w:sz w:val="28"/>
          <w:szCs w:val="28"/>
        </w:rPr>
        <w:softHyphen/>
      </w:r>
      <w:r w:rsidRPr="00485E26">
        <w:rPr>
          <w:rFonts w:ascii="Arial" w:hAnsi="Arial" w:cs="Arial"/>
          <w:bCs/>
          <w:sz w:val="28"/>
          <w:szCs w:val="28"/>
        </w:rPr>
        <w:t>оналните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инвеститори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към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пазарите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растеж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Това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ще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създаде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по-благоприятна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среда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компаниите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които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набират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капитал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ще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осигури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устойчиво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развитие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пазара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подобрена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ликвидност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4267AC2F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Международният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опит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показва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че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подобни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стимули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имат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значим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ефект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Швеция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пазарът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First North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развива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благодарение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благоприятна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данъчна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среда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подкрепяща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инфраструктура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Във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lastRenderedPageBreak/>
        <w:t>Финландия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Дания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специални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сегменти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улесняват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достъпа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малки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компании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капитал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а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Италия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AIM Italia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подкрепя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данъчни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облекчения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инвеститори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1E4564E3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Предлаганата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уредба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свързана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допълнителна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административна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тежест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лицата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разходи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икономическите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субекти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673C1BD3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Със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законопроекта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въвеждат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норми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правото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Европейския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съюз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поради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което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налага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прилагането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анализ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съответствие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правото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Европейския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съюз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изготвянето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справка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съответствие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европейското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право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>.</w:t>
      </w:r>
    </w:p>
    <w:p w14:paraId="080452CF" w14:textId="77777777" w:rsidR="0049269F" w:rsidRPr="00485E26" w:rsidRDefault="0049269F" w:rsidP="0049269F">
      <w:pPr>
        <w:pStyle w:val="ListParagraph"/>
        <w:tabs>
          <w:tab w:val="left" w:pos="567"/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485E26">
        <w:rPr>
          <w:rFonts w:ascii="Arial" w:hAnsi="Arial" w:cs="Arial"/>
          <w:bCs/>
          <w:sz w:val="28"/>
          <w:szCs w:val="28"/>
        </w:rPr>
        <w:t>Предложено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законопроектът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да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влезе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сила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от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1 </w:t>
      </w:r>
      <w:proofErr w:type="spellStart"/>
      <w:r w:rsidRPr="00485E26">
        <w:rPr>
          <w:rFonts w:ascii="Arial" w:hAnsi="Arial" w:cs="Arial"/>
          <w:bCs/>
          <w:sz w:val="28"/>
          <w:szCs w:val="28"/>
        </w:rPr>
        <w:t>януари</w:t>
      </w:r>
      <w:proofErr w:type="spellEnd"/>
      <w:r w:rsidRPr="00485E26">
        <w:rPr>
          <w:rFonts w:ascii="Arial" w:hAnsi="Arial" w:cs="Arial"/>
          <w:bCs/>
          <w:sz w:val="28"/>
          <w:szCs w:val="28"/>
        </w:rPr>
        <w:t xml:space="preserve"> 2026 г.</w:t>
      </w:r>
    </w:p>
    <w:p w14:paraId="28E98AEB" w14:textId="77777777" w:rsidR="0049269F" w:rsidRDefault="0049269F" w:rsidP="0049269F">
      <w:pPr>
        <w:pStyle w:val="ListParagraph"/>
        <w:tabs>
          <w:tab w:val="left" w:pos="709"/>
          <w:tab w:val="left" w:pos="851"/>
        </w:tabs>
        <w:spacing w:before="12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22832A4C" w14:textId="77777777" w:rsidR="0049269F" w:rsidRDefault="0049269F" w:rsidP="0049269F">
      <w:pPr>
        <w:pStyle w:val="ListParagraph"/>
        <w:tabs>
          <w:tab w:val="left" w:pos="709"/>
          <w:tab w:val="left" w:pos="851"/>
        </w:tabs>
        <w:spacing w:before="12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CFA5FAE" w14:textId="77777777" w:rsidR="0049269F" w:rsidRDefault="0049269F" w:rsidP="0049269F">
      <w:pPr>
        <w:pStyle w:val="ListParagraph"/>
        <w:tabs>
          <w:tab w:val="left" w:pos="709"/>
          <w:tab w:val="left" w:pos="851"/>
        </w:tabs>
        <w:spacing w:before="12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4C356748" w14:textId="77777777" w:rsidR="0049269F" w:rsidRPr="00FA1216" w:rsidRDefault="0049269F" w:rsidP="0049269F">
      <w:pPr>
        <w:pStyle w:val="ListParagraph"/>
        <w:tabs>
          <w:tab w:val="left" w:pos="709"/>
          <w:tab w:val="left" w:pos="851"/>
        </w:tabs>
        <w:spacing w:before="12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37C82387" w14:textId="77777777" w:rsidR="0049269F" w:rsidRPr="00464EE6" w:rsidRDefault="0049269F" w:rsidP="0049269F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</w:rPr>
      </w:pPr>
      <w:bookmarkStart w:id="0" w:name="_Hlk92799938"/>
      <w:r w:rsidRPr="00464EE6">
        <w:rPr>
          <w:rFonts w:ascii="Times New Roman" w:hAnsi="Times New Roman"/>
          <w:b/>
          <w:sz w:val="26"/>
          <w:szCs w:val="26"/>
        </w:rPr>
        <w:t>МИНИСТЪР-ПРЕДСЕДАТЕЛ:</w:t>
      </w:r>
    </w:p>
    <w:bookmarkEnd w:id="0"/>
    <w:p w14:paraId="1407BAE0" w14:textId="77777777" w:rsidR="0049269F" w:rsidRPr="00464EE6" w:rsidRDefault="0049269F" w:rsidP="0049269F">
      <w:pPr>
        <w:tabs>
          <w:tab w:val="left" w:pos="1790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 w14:anchorId="679A4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0.9pt;height:96pt">
            <v:imagedata r:id="rId4" o:title=""/>
            <o:lock v:ext="edit" ungrouping="t" rotation="t" cropping="t" verticies="t" text="t" grouping="t"/>
            <o:signatureline v:ext="edit" id="{816E61CD-A9F0-436B-A566-7BBA946E27C3}" provid="{00000000-0000-0000-0000-000000000000}" issignatureline="t"/>
          </v:shape>
        </w:pict>
      </w:r>
    </w:p>
    <w:p w14:paraId="0798EC22" w14:textId="77777777" w:rsidR="0049269F" w:rsidRDefault="0049269F" w:rsidP="0049269F">
      <w:pPr>
        <w:rPr>
          <w:rFonts w:ascii="Times New Roman" w:hAnsi="Times New Roman"/>
          <w:b/>
          <w:sz w:val="26"/>
        </w:rPr>
      </w:pPr>
    </w:p>
    <w:p w14:paraId="10A79624" w14:textId="77777777" w:rsidR="0049269F" w:rsidRPr="00953D0E" w:rsidRDefault="0049269F" w:rsidP="0049269F">
      <w:pPr>
        <w:ind w:firstLine="4820"/>
        <w:rPr>
          <w:rFonts w:ascii="Times New Roman" w:hAnsi="Times New Roman"/>
          <w:sz w:val="26"/>
        </w:rPr>
      </w:pPr>
    </w:p>
    <w:p w14:paraId="14EB7AE3" w14:textId="77777777" w:rsidR="00F878C4" w:rsidRDefault="00F878C4"/>
    <w:sectPr w:rsidR="00F878C4" w:rsidSect="0049269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418" w:bottom="1418" w:left="1418" w:header="1" w:footer="13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4F66" w14:textId="77777777" w:rsidR="0049269F" w:rsidRDefault="00492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C21C" w14:textId="77777777" w:rsidR="0049269F" w:rsidRPr="00E83B35" w:rsidRDefault="0049269F" w:rsidP="00475FB4">
    <w:pPr>
      <w:pStyle w:val="Footer"/>
      <w:jc w:val="center"/>
      <w:rPr>
        <w:rFonts w:ascii="Times New Roman" w:hAnsi="Times New Roman"/>
        <w:i/>
        <w:sz w:val="20"/>
        <w:lang w:val="en-US"/>
      </w:rPr>
    </w:pPr>
    <w:r>
      <w:rPr>
        <w:rFonts w:ascii="Times New Roman" w:hAnsi="Times New Roman"/>
        <w:i/>
        <w:sz w:val="20"/>
      </w:rPr>
      <w:t xml:space="preserve">Решение № 886 </w:t>
    </w:r>
    <w:r w:rsidRPr="00E83B35">
      <w:rPr>
        <w:rFonts w:ascii="Times New Roman" w:hAnsi="Times New Roman"/>
        <w:i/>
        <w:sz w:val="20"/>
      </w:rPr>
      <w:t>на Министерския съвет от 2025 г.</w:t>
    </w:r>
  </w:p>
  <w:p w14:paraId="54058423" w14:textId="77777777" w:rsidR="0049269F" w:rsidRPr="00E83B35" w:rsidRDefault="0049269F" w:rsidP="00475FB4">
    <w:pPr>
      <w:pStyle w:val="Footer"/>
      <w:jc w:val="cent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Документът</w:t>
    </w:r>
    <w:r w:rsidRPr="00E83B35">
      <w:rPr>
        <w:rFonts w:ascii="Times New Roman" w:hAnsi="Times New Roman"/>
        <w:i/>
        <w:sz w:val="20"/>
      </w:rPr>
      <w:t xml:space="preserve"> се изпраща чрез СЕОС.</w:t>
    </w:r>
  </w:p>
  <w:p w14:paraId="72AB15FE" w14:textId="77777777" w:rsidR="0049269F" w:rsidRPr="00D2335E" w:rsidRDefault="0049269F" w:rsidP="00475FB4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i/>
        <w:sz w:val="20"/>
      </w:rPr>
      <w:t>стр.</w:t>
    </w:r>
    <w:r w:rsidRPr="00E83B35">
      <w:rPr>
        <w:rFonts w:ascii="Times New Roman" w:hAnsi="Times New Roman"/>
        <w:i/>
        <w:sz w:val="20"/>
      </w:rPr>
      <w:t xml:space="preserve"> </w:t>
    </w:r>
    <w:r w:rsidRPr="00E83B35">
      <w:rPr>
        <w:rFonts w:ascii="Times New Roman" w:hAnsi="Times New Roman"/>
        <w:b/>
        <w:bCs/>
        <w:i/>
        <w:sz w:val="20"/>
      </w:rPr>
      <w:fldChar w:fldCharType="begin"/>
    </w:r>
    <w:r w:rsidRPr="00E83B35">
      <w:rPr>
        <w:rFonts w:ascii="Times New Roman" w:hAnsi="Times New Roman"/>
        <w:b/>
        <w:bCs/>
        <w:i/>
        <w:sz w:val="20"/>
      </w:rPr>
      <w:instrText>PAGE</w:instrText>
    </w:r>
    <w:r w:rsidRPr="00E83B35">
      <w:rPr>
        <w:rFonts w:ascii="Times New Roman" w:hAnsi="Times New Roman"/>
        <w:b/>
        <w:bCs/>
        <w:i/>
        <w:sz w:val="20"/>
      </w:rPr>
      <w:fldChar w:fldCharType="separate"/>
    </w:r>
    <w:r>
      <w:rPr>
        <w:rFonts w:ascii="Times New Roman" w:hAnsi="Times New Roman"/>
        <w:b/>
        <w:bCs/>
        <w:i/>
        <w:noProof/>
        <w:sz w:val="20"/>
      </w:rPr>
      <w:t>1</w:t>
    </w:r>
    <w:r w:rsidRPr="00E83B35">
      <w:rPr>
        <w:rFonts w:ascii="Times New Roman" w:hAnsi="Times New Roman"/>
        <w:b/>
        <w:bCs/>
        <w:i/>
        <w:sz w:val="20"/>
      </w:rPr>
      <w:fldChar w:fldCharType="end"/>
    </w:r>
    <w:r w:rsidRPr="00E83B35">
      <w:rPr>
        <w:rFonts w:ascii="Times New Roman" w:hAnsi="Times New Roman"/>
        <w:i/>
        <w:sz w:val="20"/>
      </w:rPr>
      <w:t xml:space="preserve"> от</w:t>
    </w:r>
    <w:r>
      <w:rPr>
        <w:rFonts w:ascii="Times New Roman" w:hAnsi="Times New Roman"/>
        <w:i/>
        <w:sz w:val="20"/>
      </w:rPr>
      <w:t xml:space="preserve"> всичко стр.</w:t>
    </w:r>
    <w:r w:rsidRPr="00E83B35">
      <w:rPr>
        <w:rFonts w:ascii="Times New Roman" w:hAnsi="Times New Roman"/>
        <w:i/>
        <w:sz w:val="20"/>
      </w:rPr>
      <w:t xml:space="preserve"> </w:t>
    </w:r>
    <w:r w:rsidRPr="00E83B35">
      <w:rPr>
        <w:rFonts w:ascii="Times New Roman" w:hAnsi="Times New Roman"/>
        <w:b/>
        <w:bCs/>
        <w:i/>
        <w:sz w:val="20"/>
      </w:rPr>
      <w:fldChar w:fldCharType="begin"/>
    </w:r>
    <w:r w:rsidRPr="00E83B35">
      <w:rPr>
        <w:rFonts w:ascii="Times New Roman" w:hAnsi="Times New Roman"/>
        <w:b/>
        <w:bCs/>
        <w:i/>
        <w:sz w:val="20"/>
      </w:rPr>
      <w:instrText>NUMPAGES</w:instrText>
    </w:r>
    <w:r w:rsidRPr="00E83B35">
      <w:rPr>
        <w:rFonts w:ascii="Times New Roman" w:hAnsi="Times New Roman"/>
        <w:b/>
        <w:bCs/>
        <w:i/>
        <w:sz w:val="20"/>
      </w:rPr>
      <w:fldChar w:fldCharType="separate"/>
    </w:r>
    <w:r>
      <w:rPr>
        <w:rFonts w:ascii="Times New Roman" w:hAnsi="Times New Roman"/>
        <w:b/>
        <w:bCs/>
        <w:i/>
        <w:noProof/>
        <w:sz w:val="20"/>
      </w:rPr>
      <w:t>1</w:t>
    </w:r>
    <w:r w:rsidRPr="00E83B35">
      <w:rPr>
        <w:rFonts w:ascii="Times New Roman" w:hAnsi="Times New Roman"/>
        <w:b/>
        <w:bCs/>
        <w:i/>
        <w:sz w:val="20"/>
      </w:rPr>
      <w:fldChar w:fldCharType="end"/>
    </w:r>
  </w:p>
  <w:p w14:paraId="2877A4F7" w14:textId="77777777" w:rsidR="0049269F" w:rsidRPr="00D2335E" w:rsidRDefault="0049269F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CAAD" w14:textId="77777777" w:rsidR="0049269F" w:rsidRPr="00E83B35" w:rsidRDefault="0049269F" w:rsidP="00E83B35">
    <w:pPr>
      <w:pStyle w:val="Footer"/>
      <w:jc w:val="center"/>
      <w:rPr>
        <w:rFonts w:ascii="Times New Roman" w:hAnsi="Times New Roman"/>
        <w:i/>
        <w:sz w:val="20"/>
        <w:lang w:val="en-US"/>
      </w:rPr>
    </w:pPr>
    <w:r w:rsidRPr="00E83B35">
      <w:rPr>
        <w:rFonts w:ascii="Times New Roman" w:hAnsi="Times New Roman"/>
        <w:i/>
        <w:sz w:val="20"/>
      </w:rPr>
      <w:t xml:space="preserve">Решение №  </w:t>
    </w:r>
    <w:r>
      <w:rPr>
        <w:rFonts w:ascii="Times New Roman" w:hAnsi="Times New Roman"/>
        <w:i/>
        <w:sz w:val="20"/>
      </w:rPr>
      <w:t>………………….</w:t>
    </w:r>
    <w:r w:rsidRPr="00E83B35">
      <w:rPr>
        <w:rFonts w:ascii="Times New Roman" w:hAnsi="Times New Roman"/>
        <w:i/>
        <w:sz w:val="20"/>
      </w:rPr>
      <w:t>на Министерския съвет от 2025 г.</w:t>
    </w:r>
  </w:p>
  <w:p w14:paraId="1AB73594" w14:textId="77777777" w:rsidR="0049269F" w:rsidRPr="00E83B35" w:rsidRDefault="0049269F" w:rsidP="00E83B35">
    <w:pPr>
      <w:pStyle w:val="Footer"/>
      <w:jc w:val="cent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Документът</w:t>
    </w:r>
    <w:r w:rsidRPr="00E83B35">
      <w:rPr>
        <w:rFonts w:ascii="Times New Roman" w:hAnsi="Times New Roman"/>
        <w:i/>
        <w:sz w:val="20"/>
      </w:rPr>
      <w:t xml:space="preserve"> се изпраща чрез СЕОС.</w:t>
    </w:r>
  </w:p>
  <w:p w14:paraId="018F235F" w14:textId="77777777" w:rsidR="0049269F" w:rsidRPr="00E83B35" w:rsidRDefault="0049269F">
    <w:pPr>
      <w:pStyle w:val="Footer"/>
      <w:jc w:val="center"/>
      <w:rPr>
        <w:rFonts w:ascii="Times New Roman" w:hAnsi="Times New Roman"/>
        <w:sz w:val="20"/>
      </w:rPr>
    </w:pPr>
    <w:r w:rsidRPr="00E83B35">
      <w:rPr>
        <w:rFonts w:ascii="Times New Roman" w:hAnsi="Times New Roman"/>
        <w:i/>
        <w:sz w:val="20"/>
      </w:rPr>
      <w:t xml:space="preserve">Страница </w:t>
    </w:r>
    <w:r w:rsidRPr="00E83B35">
      <w:rPr>
        <w:rFonts w:ascii="Times New Roman" w:hAnsi="Times New Roman"/>
        <w:b/>
        <w:bCs/>
        <w:i/>
        <w:sz w:val="20"/>
      </w:rPr>
      <w:fldChar w:fldCharType="begin"/>
    </w:r>
    <w:r w:rsidRPr="00E83B35">
      <w:rPr>
        <w:rFonts w:ascii="Times New Roman" w:hAnsi="Times New Roman"/>
        <w:b/>
        <w:bCs/>
        <w:i/>
        <w:sz w:val="20"/>
      </w:rPr>
      <w:instrText>PAGE</w:instrText>
    </w:r>
    <w:r w:rsidRPr="00E83B35">
      <w:rPr>
        <w:rFonts w:ascii="Times New Roman" w:hAnsi="Times New Roman"/>
        <w:b/>
        <w:bCs/>
        <w:i/>
        <w:sz w:val="20"/>
      </w:rPr>
      <w:fldChar w:fldCharType="separate"/>
    </w:r>
    <w:r>
      <w:rPr>
        <w:rFonts w:ascii="Times New Roman" w:hAnsi="Times New Roman"/>
        <w:b/>
        <w:bCs/>
        <w:i/>
        <w:noProof/>
        <w:sz w:val="20"/>
      </w:rPr>
      <w:t>1</w:t>
    </w:r>
    <w:r w:rsidRPr="00E83B35">
      <w:rPr>
        <w:rFonts w:ascii="Times New Roman" w:hAnsi="Times New Roman"/>
        <w:b/>
        <w:bCs/>
        <w:i/>
        <w:sz w:val="20"/>
      </w:rPr>
      <w:fldChar w:fldCharType="end"/>
    </w:r>
    <w:r w:rsidRPr="00E83B35">
      <w:rPr>
        <w:rFonts w:ascii="Times New Roman" w:hAnsi="Times New Roman"/>
        <w:i/>
        <w:sz w:val="20"/>
      </w:rPr>
      <w:t xml:space="preserve"> от </w:t>
    </w:r>
    <w:r w:rsidRPr="00E83B35">
      <w:rPr>
        <w:rFonts w:ascii="Times New Roman" w:hAnsi="Times New Roman"/>
        <w:b/>
        <w:bCs/>
        <w:i/>
        <w:sz w:val="20"/>
      </w:rPr>
      <w:fldChar w:fldCharType="begin"/>
    </w:r>
    <w:r w:rsidRPr="00E83B35">
      <w:rPr>
        <w:rFonts w:ascii="Times New Roman" w:hAnsi="Times New Roman"/>
        <w:b/>
        <w:bCs/>
        <w:i/>
        <w:sz w:val="20"/>
      </w:rPr>
      <w:instrText>NUMPAGES</w:instrText>
    </w:r>
    <w:r w:rsidRPr="00E83B35">
      <w:rPr>
        <w:rFonts w:ascii="Times New Roman" w:hAnsi="Times New Roman"/>
        <w:b/>
        <w:bCs/>
        <w:i/>
        <w:sz w:val="20"/>
      </w:rPr>
      <w:fldChar w:fldCharType="separate"/>
    </w:r>
    <w:r>
      <w:rPr>
        <w:rFonts w:ascii="Times New Roman" w:hAnsi="Times New Roman"/>
        <w:b/>
        <w:bCs/>
        <w:i/>
        <w:noProof/>
        <w:sz w:val="20"/>
      </w:rPr>
      <w:t>1</w:t>
    </w:r>
    <w:r w:rsidRPr="00E83B35">
      <w:rPr>
        <w:rFonts w:ascii="Times New Roman" w:hAnsi="Times New Roman"/>
        <w:b/>
        <w:bCs/>
        <w:i/>
        <w:sz w:val="20"/>
      </w:rPr>
      <w:fldChar w:fldCharType="end"/>
    </w:r>
  </w:p>
  <w:p w14:paraId="6B4C9441" w14:textId="77777777" w:rsidR="0049269F" w:rsidRPr="00E83B35" w:rsidRDefault="0049269F" w:rsidP="00F46786">
    <w:pPr>
      <w:pStyle w:val="Footer"/>
      <w:rPr>
        <w:rFonts w:ascii="Times New Roman" w:hAnsi="Times New Roman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A8FD" w14:textId="77777777" w:rsidR="0049269F" w:rsidRDefault="00492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5978" w14:textId="77777777" w:rsidR="0049269F" w:rsidRDefault="00492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E3EC" w14:textId="77777777" w:rsidR="0049269F" w:rsidRDefault="00492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9F"/>
    <w:rsid w:val="0049269F"/>
    <w:rsid w:val="00AF5201"/>
    <w:rsid w:val="00AF7599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251F"/>
  <w15:chartTrackingRefBased/>
  <w15:docId w15:val="{90528A9C-6B92-4803-9E32-5100D346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9F"/>
    <w:pPr>
      <w:spacing w:after="0" w:line="240" w:lineRule="auto"/>
    </w:pPr>
    <w:rPr>
      <w:rFonts w:ascii="HebarU" w:eastAsia="Times New Roman" w:hAnsi="HebarU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99"/>
    <w:qFormat/>
    <w:rsid w:val="00D81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9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926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926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9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926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69F"/>
    <w:rPr>
      <w:rFonts w:ascii="HebarU" w:eastAsia="Times New Roman" w:hAnsi="HebarU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rsid w:val="004926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69F"/>
    <w:rPr>
      <w:rFonts w:ascii="HebarU" w:eastAsia="Times New Roman" w:hAnsi="HebarU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emf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1</cp:revision>
  <dcterms:created xsi:type="dcterms:W3CDTF">2025-12-22T20:05:00Z</dcterms:created>
  <dcterms:modified xsi:type="dcterms:W3CDTF">2025-12-22T20:06:00Z</dcterms:modified>
</cp:coreProperties>
</file>